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73CED">
      <w:pPr>
        <w:spacing w:line="240" w:lineRule="auto"/>
        <w:ind w:firstLine="0" w:firstLineChars="0"/>
        <w:rPr>
          <w:rFonts w:ascii="方正黑体_GBK" w:hAnsi="Times New Roman" w:eastAsia="方正黑体_GBK" w:cs="宋体"/>
          <w:bCs/>
          <w:color w:val="000000" w:themeColor="text1"/>
          <w:kern w:val="0"/>
          <w:sz w:val="32"/>
          <w:szCs w:val="44"/>
          <w14:textFill>
            <w14:solidFill>
              <w14:schemeClr w14:val="tx1"/>
            </w14:solidFill>
          </w14:textFill>
        </w:rPr>
      </w:pPr>
      <w:r>
        <w:rPr>
          <w:rFonts w:ascii="黑体" w:hAnsi="Times New Roman" w:eastAsia="黑体" w:cs="宋体"/>
          <w:b/>
          <w:bCs/>
          <w:color w:val="000000" w:themeColor="text1"/>
          <w:kern w:val="0"/>
          <w:sz w:val="44"/>
          <w:szCs w:val="44"/>
          <w14:textFill>
            <w14:solidFill>
              <w14:schemeClr w14:val="tx1"/>
            </w14:solidFill>
          </w14:textFill>
        </w:rPr>
        <w:tab/>
      </w:r>
      <w:r>
        <w:rPr>
          <w:rFonts w:hint="eastAsia" w:ascii="方正黑体_GBK" w:hAnsi="Times New Roman" w:eastAsia="方正黑体_GBK" w:cs="宋体"/>
          <w:bCs/>
          <w:color w:val="000000" w:themeColor="text1"/>
          <w:kern w:val="0"/>
          <w:sz w:val="32"/>
          <w:szCs w:val="44"/>
          <w14:textFill>
            <w14:solidFill>
              <w14:schemeClr w14:val="tx1"/>
            </w14:solidFill>
          </w14:textFill>
        </w:rPr>
        <w:t>附件1</w:t>
      </w:r>
    </w:p>
    <w:p w14:paraId="6EC90F09">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3252BC4A">
      <w:pPr>
        <w:spacing w:line="240" w:lineRule="auto"/>
        <w:ind w:firstLine="0" w:firstLineChars="0"/>
        <w:jc w:val="center"/>
        <w:rPr>
          <w:rFonts w:ascii="华文中宋" w:hAnsi="Times New Roman" w:eastAsia="华文中宋" w:cs="宋体"/>
          <w:b/>
          <w:bCs/>
          <w:color w:val="000000" w:themeColor="text1"/>
          <w:kern w:val="0"/>
          <w:sz w:val="52"/>
          <w:szCs w:val="52"/>
          <w14:textFill>
            <w14:solidFill>
              <w14:schemeClr w14:val="tx1"/>
            </w14:solidFill>
          </w14:textFill>
        </w:rPr>
      </w:pPr>
    </w:p>
    <w:p w14:paraId="2B0E2BA4">
      <w:pPr>
        <w:spacing w:line="240" w:lineRule="auto"/>
        <w:ind w:firstLine="0" w:firstLineChars="0"/>
        <w:jc w:val="center"/>
        <w:rPr>
          <w:rFonts w:ascii="华文中宋" w:hAnsi="Times New Roman" w:eastAsia="华文中宋" w:cs="宋体"/>
          <w:b/>
          <w:bCs/>
          <w:color w:val="000000" w:themeColor="text1"/>
          <w:kern w:val="0"/>
          <w:sz w:val="52"/>
          <w:szCs w:val="52"/>
          <w14:textFill>
            <w14:solidFill>
              <w14:schemeClr w14:val="tx1"/>
            </w14:solidFill>
          </w14:textFill>
        </w:rPr>
      </w:pPr>
    </w:p>
    <w:p w14:paraId="59ACF45D">
      <w:pPr>
        <w:spacing w:line="600" w:lineRule="exact"/>
        <w:ind w:firstLine="0" w:firstLineChars="0"/>
        <w:jc w:val="center"/>
        <w:rPr>
          <w:rFonts w:ascii="方正小标宋_GBK" w:hAnsi="Times New Roman" w:eastAsia="方正小标宋_GBK" w:cs="宋体"/>
          <w:b/>
          <w:bCs/>
          <w:color w:val="000000" w:themeColor="text1"/>
          <w:kern w:val="0"/>
          <w:sz w:val="44"/>
          <w:szCs w:val="52"/>
          <w14:textFill>
            <w14:solidFill>
              <w14:schemeClr w14:val="tx1"/>
            </w14:solidFill>
          </w14:textFill>
        </w:rPr>
      </w:pPr>
      <w:r>
        <w:rPr>
          <w:rFonts w:hint="eastAsia" w:ascii="方正小标宋_GBK" w:hAnsi="Times New Roman" w:eastAsia="方正小标宋_GBK" w:cs="宋体"/>
          <w:b/>
          <w:bCs/>
          <w:color w:val="000000" w:themeColor="text1"/>
          <w:kern w:val="0"/>
          <w:sz w:val="44"/>
          <w:szCs w:val="52"/>
          <w14:textFill>
            <w14:solidFill>
              <w14:schemeClr w14:val="tx1"/>
            </w14:solidFill>
          </w14:textFill>
        </w:rPr>
        <w:t>2026年度重庆市教委人文社会科学研究</w:t>
      </w:r>
    </w:p>
    <w:p w14:paraId="5B27800E">
      <w:pPr>
        <w:spacing w:line="600" w:lineRule="exact"/>
        <w:ind w:firstLine="0" w:firstLineChars="0"/>
        <w:jc w:val="center"/>
        <w:rPr>
          <w:rFonts w:ascii="方正小标宋_GBK" w:hAnsi="Times New Roman" w:eastAsia="方正小标宋_GBK" w:cs="宋体"/>
          <w:b/>
          <w:bCs/>
          <w:color w:val="000000" w:themeColor="text1"/>
          <w:kern w:val="0"/>
          <w:sz w:val="44"/>
          <w:szCs w:val="52"/>
          <w14:textFill>
            <w14:solidFill>
              <w14:schemeClr w14:val="tx1"/>
            </w14:solidFill>
          </w14:textFill>
        </w:rPr>
      </w:pPr>
      <w:r>
        <w:rPr>
          <w:rFonts w:hint="eastAsia" w:ascii="方正小标宋_GBK" w:hAnsi="Times New Roman" w:eastAsia="方正小标宋_GBK" w:cs="宋体"/>
          <w:b/>
          <w:bCs/>
          <w:color w:val="000000" w:themeColor="text1"/>
          <w:kern w:val="0"/>
          <w:sz w:val="44"/>
          <w:szCs w:val="52"/>
          <w14:textFill>
            <w14:solidFill>
              <w14:schemeClr w14:val="tx1"/>
            </w14:solidFill>
          </w14:textFill>
        </w:rPr>
        <w:t>项目指南</w:t>
      </w:r>
    </w:p>
    <w:p w14:paraId="156884FC">
      <w:pPr>
        <w:spacing w:line="240" w:lineRule="auto"/>
        <w:ind w:firstLine="0" w:firstLineChars="0"/>
        <w:jc w:val="center"/>
        <w:rPr>
          <w:rFonts w:ascii="华文中宋" w:hAnsi="Times New Roman" w:eastAsia="华文中宋" w:cs="宋体"/>
          <w:b/>
          <w:bCs/>
          <w:color w:val="000000" w:themeColor="text1"/>
          <w:kern w:val="0"/>
          <w:sz w:val="36"/>
          <w:szCs w:val="36"/>
          <w14:textFill>
            <w14:solidFill>
              <w14:schemeClr w14:val="tx1"/>
            </w14:solidFill>
          </w14:textFill>
        </w:rPr>
      </w:pPr>
    </w:p>
    <w:p w14:paraId="65C2809A">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71CC719A">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4B2F2318">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6A623D30">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55D242BD">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7E572080">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6F86D884">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232D3046">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17A1ABB3">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3044A355">
      <w:pPr>
        <w:spacing w:line="240" w:lineRule="auto"/>
        <w:ind w:firstLine="0" w:firstLineChars="0"/>
        <w:jc w:val="center"/>
        <w:rPr>
          <w:rFonts w:ascii="楷体_GB2312" w:hAnsi="Times New Roman" w:eastAsia="楷体_GB2312" w:cs="宋体"/>
          <w:b/>
          <w:bCs/>
          <w:color w:val="000000" w:themeColor="text1"/>
          <w:kern w:val="0"/>
          <w:sz w:val="36"/>
          <w:szCs w:val="36"/>
          <w14:textFill>
            <w14:solidFill>
              <w14:schemeClr w14:val="tx1"/>
            </w14:solidFill>
          </w14:textFill>
        </w:rPr>
      </w:pPr>
    </w:p>
    <w:p w14:paraId="543ABB49">
      <w:pPr>
        <w:spacing w:line="240" w:lineRule="auto"/>
        <w:ind w:firstLine="0" w:firstLineChars="0"/>
        <w:jc w:val="center"/>
        <w:rPr>
          <w:rFonts w:ascii="方正楷体_GBK" w:hAnsi="Times New Roman" w:eastAsia="方正楷体_GBK" w:cs="宋体"/>
          <w:bCs/>
          <w:color w:val="000000" w:themeColor="text1"/>
          <w:kern w:val="0"/>
          <w:sz w:val="36"/>
          <w:szCs w:val="36"/>
          <w14:textFill>
            <w14:solidFill>
              <w14:schemeClr w14:val="tx1"/>
            </w14:solidFill>
          </w14:textFill>
        </w:rPr>
      </w:pPr>
      <w:r>
        <w:rPr>
          <w:rFonts w:hint="eastAsia" w:ascii="方正楷体_GBK" w:hAnsi="Times New Roman" w:eastAsia="方正楷体_GBK" w:cs="宋体"/>
          <w:bCs/>
          <w:color w:val="000000" w:themeColor="text1"/>
          <w:kern w:val="0"/>
          <w:sz w:val="36"/>
          <w:szCs w:val="36"/>
          <w14:textFill>
            <w14:solidFill>
              <w14:schemeClr w14:val="tx1"/>
            </w14:solidFill>
          </w14:textFill>
        </w:rPr>
        <w:t>2025年12月</w:t>
      </w:r>
    </w:p>
    <w:p w14:paraId="6C2FBD54">
      <w:pPr>
        <w:spacing w:line="240" w:lineRule="auto"/>
        <w:ind w:firstLine="0" w:firstLineChars="0"/>
        <w:jc w:val="center"/>
        <w:rPr>
          <w:rFonts w:ascii="黑体" w:hAnsi="Times New Roman" w:eastAsia="黑体" w:cs="宋体"/>
          <w:b/>
          <w:bCs/>
          <w:color w:val="000000" w:themeColor="text1"/>
          <w:kern w:val="0"/>
          <w:sz w:val="44"/>
          <w:szCs w:val="44"/>
          <w14:textFill>
            <w14:solidFill>
              <w14:schemeClr w14:val="tx1"/>
            </w14:solidFill>
          </w14:textFill>
        </w:rPr>
      </w:pPr>
    </w:p>
    <w:p w14:paraId="33EE086A">
      <w:pPr>
        <w:tabs>
          <w:tab w:val="left" w:pos="2530"/>
          <w:tab w:val="center" w:pos="4156"/>
        </w:tabs>
        <w:spacing w:line="240" w:lineRule="auto"/>
        <w:ind w:firstLine="0" w:firstLineChars="0"/>
        <w:jc w:val="left"/>
        <w:rPr>
          <w:rFonts w:ascii="黑体" w:hAnsi="Times New Roman" w:eastAsia="黑体" w:cs="宋体"/>
          <w:b/>
          <w:bCs/>
          <w:color w:val="000000" w:themeColor="text1"/>
          <w:kern w:val="0"/>
          <w:sz w:val="44"/>
          <w:szCs w:val="44"/>
          <w14:textFill>
            <w14:solidFill>
              <w14:schemeClr w14:val="tx1"/>
            </w14:solidFill>
          </w14:textFill>
        </w:rPr>
      </w:pPr>
      <w:r>
        <w:rPr>
          <w:rFonts w:ascii="黑体" w:hAnsi="Times New Roman" w:eastAsia="黑体" w:cs="宋体"/>
          <w:b/>
          <w:bCs/>
          <w:color w:val="000000" w:themeColor="text1"/>
          <w:kern w:val="0"/>
          <w:sz w:val="44"/>
          <w:szCs w:val="44"/>
          <w14:textFill>
            <w14:solidFill>
              <w14:schemeClr w14:val="tx1"/>
            </w14:solidFill>
          </w14:textFill>
        </w:rPr>
        <w:tab/>
      </w:r>
    </w:p>
    <w:p w14:paraId="521BAFE4">
      <w:pPr>
        <w:ind w:firstLine="880"/>
        <w:rPr>
          <w:rFonts w:ascii="黑体" w:hAnsi="Times New Roman" w:eastAsia="黑体" w:cs="宋体"/>
          <w:sz w:val="44"/>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361" w:right="1797" w:bottom="1361" w:left="1797" w:header="851" w:footer="992" w:gutter="0"/>
          <w:pgNumType w:start="1"/>
          <w:cols w:space="720" w:num="1"/>
          <w:docGrid w:type="lines" w:linePitch="312" w:charSpace="0"/>
        </w:sectPr>
      </w:pPr>
    </w:p>
    <w:p w14:paraId="0B37A190">
      <w:pPr>
        <w:widowControl w:val="0"/>
        <w:autoSpaceDN w:val="0"/>
        <w:spacing w:line="600" w:lineRule="exact"/>
        <w:ind w:firstLine="0" w:firstLineChars="0"/>
        <w:jc w:val="center"/>
        <w:textAlignment w:val="center"/>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说  明</w:t>
      </w:r>
    </w:p>
    <w:p w14:paraId="703DBBB8">
      <w:pPr>
        <w:widowControl w:val="0"/>
        <w:autoSpaceDN w:val="0"/>
        <w:spacing w:line="600" w:lineRule="exact"/>
        <w:ind w:firstLine="640"/>
        <w:textAlignment w:val="center"/>
        <w:rPr>
          <w:rFonts w:ascii="Times New Roman" w:hAnsi="Times New Roman" w:eastAsia="方正仿宋_GBK" w:cs="Times New Roman"/>
          <w:bCs/>
          <w:color w:val="000000" w:themeColor="text1"/>
          <w:kern w:val="0"/>
          <w:sz w:val="32"/>
          <w:szCs w:val="32"/>
          <w14:textFill>
            <w14:solidFill>
              <w14:schemeClr w14:val="tx1"/>
            </w14:solidFill>
          </w14:textFill>
        </w:rPr>
      </w:pPr>
      <w:r>
        <w:rPr>
          <w:rFonts w:hint="eastAsia" w:ascii="Times New Roman" w:hAnsi="Times New Roman" w:eastAsia="方正仿宋_GBK" w:cs="Times New Roman"/>
          <w:bCs/>
          <w:color w:val="000000" w:themeColor="text1"/>
          <w:kern w:val="0"/>
          <w:sz w:val="32"/>
          <w:szCs w:val="32"/>
          <w14:textFill>
            <w14:solidFill>
              <w14:schemeClr w14:val="tx1"/>
            </w14:solidFill>
          </w14:textFill>
        </w:rPr>
        <w:t>1.根据国家质量技术监督局2009年公布的《学科分类与代码》和高校的实际情况，本次项目申报的学科范围包括：马克思主义理论/思想政治教育、哲学、政治学、国际问题研究、语言学、中国文学、外国文学、艺术学、历史学、考古学、经济学、统计学、管理学、法学、社会学、人口学、民族学、新闻与传播学、图书情报文献学、教育学/心理学、体育学。</w:t>
      </w:r>
    </w:p>
    <w:p w14:paraId="0B577AB5">
      <w:pPr>
        <w:widowControl w:val="0"/>
        <w:autoSpaceDN w:val="0"/>
        <w:spacing w:line="600" w:lineRule="exact"/>
        <w:ind w:firstLine="640"/>
        <w:textAlignment w:val="center"/>
        <w:rPr>
          <w:rFonts w:ascii="Times New Roman" w:hAnsi="Times New Roman" w:eastAsia="方正仿宋_GBK" w:cs="Times New Roman"/>
          <w:bCs/>
          <w:color w:val="000000" w:themeColor="text1"/>
          <w:kern w:val="0"/>
          <w:sz w:val="32"/>
          <w:szCs w:val="32"/>
          <w14:textFill>
            <w14:solidFill>
              <w14:schemeClr w14:val="tx1"/>
            </w14:solidFill>
          </w14:textFill>
        </w:rPr>
      </w:pPr>
      <w:r>
        <w:rPr>
          <w:rFonts w:hint="eastAsia" w:ascii="Times New Roman" w:hAnsi="Times New Roman" w:eastAsia="方正仿宋_GBK" w:cs="Times New Roman"/>
          <w:bCs/>
          <w:color w:val="000000" w:themeColor="text1"/>
          <w:kern w:val="0"/>
          <w:sz w:val="32"/>
          <w:szCs w:val="32"/>
          <w14:textFill>
            <w14:solidFill>
              <w14:schemeClr w14:val="tx1"/>
            </w14:solidFill>
          </w14:textFill>
        </w:rPr>
        <w:t>2.本“选题指南”主要是方向性条目，申请人可选择不同学科的研究角度和侧重点设计具体题目申报。分为重大、重点和一般项目，其中，重大项目的条目单列，重点项目须是从带“*”号的条目中进行选择。其他未列出选题的学科，可依据研究的主要内容，按照“相近”原则，确定学科归属。</w:t>
      </w:r>
    </w:p>
    <w:p w14:paraId="360B24C8">
      <w:pPr>
        <w:widowControl w:val="0"/>
        <w:autoSpaceDN w:val="0"/>
        <w:spacing w:line="600" w:lineRule="exact"/>
        <w:ind w:firstLine="640"/>
        <w:textAlignment w:val="center"/>
        <w:rPr>
          <w:rFonts w:ascii="Times New Roman" w:hAnsi="Times New Roman" w:eastAsia="方正仿宋_GBK" w:cs="Times New Roman"/>
          <w:bCs/>
          <w:color w:val="000000" w:themeColor="text1"/>
          <w:kern w:val="0"/>
          <w:sz w:val="32"/>
          <w:szCs w:val="32"/>
          <w14:textFill>
            <w14:solidFill>
              <w14:schemeClr w14:val="tx1"/>
            </w14:solidFill>
          </w14:textFill>
        </w:rPr>
      </w:pPr>
      <w:r>
        <w:rPr>
          <w:rFonts w:hint="eastAsia" w:ascii="Times New Roman" w:hAnsi="Times New Roman" w:eastAsia="方正仿宋_GBK" w:cs="Times New Roman"/>
          <w:bCs/>
          <w:color w:val="000000" w:themeColor="text1"/>
          <w:kern w:val="0"/>
          <w:sz w:val="32"/>
          <w:szCs w:val="32"/>
          <w14:textFill>
            <w14:solidFill>
              <w14:schemeClr w14:val="tx1"/>
            </w14:solidFill>
          </w14:textFill>
        </w:rPr>
        <w:t>3.申请人可根据自身学术积累，围绕学习贯彻党的二十届四中全会精神和习近平总书记视察重庆重要讲话重要指示精神，聚焦国家重大战略和重庆经济社会发展需求，自主选题进行申报。</w:t>
      </w:r>
    </w:p>
    <w:p w14:paraId="648EDAE1">
      <w:pPr>
        <w:widowControl w:val="0"/>
        <w:autoSpaceDN w:val="0"/>
        <w:spacing w:line="600" w:lineRule="exact"/>
        <w:ind w:firstLine="640"/>
        <w:textAlignment w:val="center"/>
        <w:rPr>
          <w:rFonts w:ascii="方正仿宋_GBK" w:hAnsi="Times New Roman" w:eastAsia="方正仿宋_GBK" w:cs="宋体"/>
          <w:bCs/>
          <w:color w:val="000000" w:themeColor="text1"/>
          <w:kern w:val="0"/>
          <w:sz w:val="32"/>
          <w:szCs w:val="32"/>
          <w14:textFill>
            <w14:solidFill>
              <w14:schemeClr w14:val="tx1"/>
            </w14:solidFill>
          </w14:textFill>
        </w:rPr>
      </w:pPr>
      <w:r>
        <w:rPr>
          <w:rFonts w:hint="eastAsia" w:ascii="Times New Roman" w:hAnsi="Times New Roman" w:eastAsia="方正仿宋_GBK" w:cs="Times New Roman"/>
          <w:bCs/>
          <w:color w:val="000000" w:themeColor="text1"/>
          <w:kern w:val="0"/>
          <w:sz w:val="32"/>
          <w:szCs w:val="32"/>
          <w14:textFill>
            <w14:solidFill>
              <w14:schemeClr w14:val="tx1"/>
            </w14:solidFill>
          </w14:textFill>
        </w:rPr>
        <w:t>4.申报题目的表述应科学、严谨、规范、简明，一般不加副标题。</w:t>
      </w:r>
    </w:p>
    <w:p w14:paraId="576FDBDA">
      <w:pPr>
        <w:pStyle w:val="2"/>
        <w:spacing w:before="0" w:after="0" w:line="600" w:lineRule="exact"/>
        <w:ind w:firstLine="0" w:firstLineChars="0"/>
        <w:jc w:val="center"/>
        <w:rPr>
          <w:rFonts w:ascii="黑体" w:hAnsi="黑体" w:eastAsia="黑体" w:cs="宋体"/>
          <w:color w:val="000000" w:themeColor="text1"/>
          <w:kern w:val="0"/>
          <w:sz w:val="32"/>
          <w:szCs w:val="32"/>
          <w14:textFill>
            <w14:solidFill>
              <w14:schemeClr w14:val="tx1"/>
            </w14:solidFill>
          </w14:textFill>
        </w:rPr>
        <w:sectPr>
          <w:headerReference r:id="rId13" w:type="first"/>
          <w:footerReference r:id="rId16" w:type="first"/>
          <w:headerReference r:id="rId11" w:type="default"/>
          <w:footerReference r:id="rId14" w:type="default"/>
          <w:headerReference r:id="rId12" w:type="even"/>
          <w:footerReference r:id="rId15" w:type="even"/>
          <w:pgSz w:w="11906" w:h="16838"/>
          <w:pgMar w:top="1985" w:right="1446" w:bottom="1644" w:left="1446" w:header="851" w:footer="992" w:gutter="0"/>
          <w:cols w:space="425" w:num="1"/>
          <w:docGrid w:type="lines" w:linePitch="312" w:charSpace="0"/>
        </w:sectPr>
      </w:pPr>
    </w:p>
    <w:p w14:paraId="79522C88">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重大项目</w:t>
      </w:r>
    </w:p>
    <w:p w14:paraId="608364A6">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1.习近平新时代中国特色社会主义思想循迹溯源研究</w:t>
      </w:r>
    </w:p>
    <w:p w14:paraId="2BB92F43">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2.习近平经济思想的世界观和方法论研究</w:t>
      </w:r>
    </w:p>
    <w:p w14:paraId="7A56F9F3">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3.习近平总书记关于党的建设重要思想的体系化学理化研究</w:t>
      </w:r>
    </w:p>
    <w:p w14:paraId="75BFCC98">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4.习近平文化思想的文学阐释体系构建研究</w:t>
      </w:r>
    </w:p>
    <w:p w14:paraId="5A18E405">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5.习近平文化思想与新时代艺术研究</w:t>
      </w:r>
    </w:p>
    <w:p w14:paraId="07F076F3">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6.马克思主义中国化时代化历史进程和基本规律研究</w:t>
      </w:r>
    </w:p>
    <w:p w14:paraId="2F1007AB">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7.中国式现代化实践对马克思主义社会形态理论的创新贡献研究</w:t>
      </w:r>
    </w:p>
    <w:p w14:paraId="1502F83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8.中国共产党领导制定经济社会发展规划的基本经验研究</w:t>
      </w:r>
    </w:p>
    <w:p w14:paraId="2DF9790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9.世界文学与不同文明形态的交融与冲突研究</w:t>
      </w:r>
    </w:p>
    <w:p w14:paraId="56A4BE9C">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10.世界华人文学的跨语际实践与中国故事叙事策略研究</w:t>
      </w:r>
    </w:p>
    <w:p w14:paraId="093141F0">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11.西方地缘政治、地缘经济的理论建构及其历史研究</w:t>
      </w:r>
    </w:p>
    <w:p w14:paraId="41BB50CE">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12.世界进入新的动荡变革期的主要特征和发展态势研究</w:t>
      </w:r>
    </w:p>
    <w:p w14:paraId="4A17C6A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13.中国阐释学话语体系建构研究</w:t>
      </w:r>
    </w:p>
    <w:p w14:paraId="0D2CCA04">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14.界面理论的汉语语法研究与人工智能汉语处理</w:t>
      </w:r>
    </w:p>
    <w:p w14:paraId="0A4EAAA9">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15.中国传统文论中的中华美育精神阐释研究</w:t>
      </w:r>
    </w:p>
    <w:p w14:paraId="06F5D982">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16.世界文学与不同文明形态的交融与冲突研究</w:t>
      </w:r>
    </w:p>
    <w:p w14:paraId="20A607F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17.世界华人文学的跨语际实践与中国故事叙事策略研究</w:t>
      </w:r>
    </w:p>
    <w:p w14:paraId="1C8CBAB2">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18.扩大开放背景下统筹国内国际文化市场的体制机制研究</w:t>
      </w:r>
    </w:p>
    <w:p w14:paraId="5DE2ECF8">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19.中国式现代化的历史文化源流、创新实践与全球化价值研究</w:t>
      </w:r>
    </w:p>
    <w:p w14:paraId="65A9C9AC">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20.中西历史学知识体系建构比较研究</w:t>
      </w:r>
    </w:p>
    <w:p w14:paraId="3DAAB4AF">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21.医学考古学研究</w:t>
      </w:r>
    </w:p>
    <w:p w14:paraId="58E27850">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22.古代居民健康与定居农业研究</w:t>
      </w:r>
    </w:p>
    <w:p w14:paraId="032E6DA2">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23.新质生产力理论体系与实践问题研究</w:t>
      </w:r>
    </w:p>
    <w:p w14:paraId="273087C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24.“十五五”时期世界经济走势及对我国经济高质量发展的影响及对策研究</w:t>
      </w:r>
    </w:p>
    <w:p w14:paraId="0BD6231C">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25.全口径消费统计的理论与中国实践研究</w:t>
      </w:r>
    </w:p>
    <w:p w14:paraId="310DA1AB">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26.金融稳定风险统计监测、预警及对策研究</w:t>
      </w:r>
    </w:p>
    <w:p w14:paraId="72FFF54F">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27.构建房地产发展新模式的理论创新与实现机制研究</w:t>
      </w:r>
    </w:p>
    <w:p w14:paraId="6072CFE2">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28.低空应用场景和需求培育总体思路研究</w:t>
      </w:r>
    </w:p>
    <w:p w14:paraId="2F9DF86E">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29.构建高水平社会主义市场经济体制的法治保障研究</w:t>
      </w:r>
    </w:p>
    <w:p w14:paraId="5A5059F1">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30.人工智能“深度伪造”对刑事司法的挑战及应对研究</w:t>
      </w:r>
    </w:p>
    <w:p w14:paraId="5797656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31.人工智能“内容生产”对青少年社会心态的影响及对策研究</w:t>
      </w:r>
    </w:p>
    <w:p w14:paraId="661A7ECE">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32.网络社会背景下人的社会化场景变化及其影响研究</w:t>
      </w:r>
    </w:p>
    <w:p w14:paraId="217F82E0">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33.人口发展趋势对经济安全的多重影响与战略应对研究</w:t>
      </w:r>
    </w:p>
    <w:p w14:paraId="33CC7D4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34.人口流动与县域城乡融合发展研究</w:t>
      </w:r>
    </w:p>
    <w:p w14:paraId="46EEE595">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35.世界民族问题发展态势研究</w:t>
      </w:r>
    </w:p>
    <w:p w14:paraId="55EA6855">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36.当代中西民族政策比较研究</w:t>
      </w:r>
    </w:p>
    <w:p w14:paraId="1CB1719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37.构建适应全媒体内容生产的传播机制和评价体系研究</w:t>
      </w:r>
    </w:p>
    <w:p w14:paraId="5E5FE9ED">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38.互联网新闻信息服务管理面临的形势、问题及对策研究</w:t>
      </w:r>
    </w:p>
    <w:p w14:paraId="209DFFCB">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39.人工智能驱动的知识组织与图书馆服务研究</w:t>
      </w:r>
    </w:p>
    <w:p w14:paraId="686AC84A">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40.数智背景下档案数据要素治理生态构建研究</w:t>
      </w:r>
    </w:p>
    <w:p w14:paraId="6392ABE7">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41.《教育强国建设规划纲要》实施跟踪研究</w:t>
      </w:r>
    </w:p>
    <w:p w14:paraId="0CD9A1C6">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42.社会主义核心价值观教育成效评价研究</w:t>
      </w:r>
    </w:p>
    <w:p w14:paraId="141FEF24">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43.新质生产力赋能体育高质量发展研究</w:t>
      </w:r>
    </w:p>
    <w:p w14:paraId="22754668">
      <w:pPr>
        <w:keepNext w:val="0"/>
        <w:keepLines w:val="0"/>
        <w:pageBreakBefore w:val="0"/>
        <w:widowControl/>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44.竞技体育管理体制和运行机制改革研究</w:t>
      </w:r>
    </w:p>
    <w:p w14:paraId="081ABA68">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马克思主义理论/思想政治教育</w:t>
      </w:r>
    </w:p>
    <w:p w14:paraId="046DEB3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*1.习近平总书记关于党的自我革命重要思想研究</w:t>
      </w:r>
    </w:p>
    <w:p w14:paraId="07E5891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*2.习近平总书记关于加强党的作风建设重要论述研究</w:t>
      </w:r>
    </w:p>
    <w:p w14:paraId="0BC9886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*3.习近平总书记关于学校思政课建设重要论述研究</w:t>
      </w:r>
    </w:p>
    <w:p w14:paraId="4D82CF14">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*4.习近平文化思想融入高校思政课教学的机制和路径研究</w:t>
      </w:r>
    </w:p>
    <w:p w14:paraId="2E4F0F2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*5.深化习近平新时代中国特色社会主义思想教学体系化研究</w:t>
      </w:r>
    </w:p>
    <w:p w14:paraId="2A06142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*6.“六个坚持”的内在逻辑、方法途径和实践要求研究</w:t>
      </w:r>
    </w:p>
    <w:p w14:paraId="4640F29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*7.中国式现代化的时代背景、本质要求和世界意义研究</w:t>
      </w:r>
    </w:p>
    <w:p w14:paraId="44A76871">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*8.标识性重大概念、原创性思想观点、原理性理论成果学理化研究</w:t>
      </w:r>
    </w:p>
    <w:p w14:paraId="655E8BD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*9.马克思主义与中华优秀传统文化契合性研究</w:t>
      </w:r>
    </w:p>
    <w:p w14:paraId="7728B52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*10.马克思主义现代化理论研究</w:t>
      </w:r>
    </w:p>
    <w:p w14:paraId="6FBAED3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*11.马克思主义与当代思潮前沿问题研究</w:t>
      </w:r>
    </w:p>
    <w:p w14:paraId="712B329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*12.马克思主义发展史、传播史和国际共产主义运动史、社会主义发展史研究</w:t>
      </w:r>
    </w:p>
    <w:p w14:paraId="2141B6E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*13.当代资本主义新变化与国外马克思主义批判理论新动向研究</w:t>
      </w:r>
    </w:p>
    <w:p w14:paraId="7113B91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*14.海外习近平新时代中国特色社会主义思想研究追踪和引导</w:t>
      </w:r>
    </w:p>
    <w:p w14:paraId="1CB00E5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15.“大思政课”建设中有效激发学生主体性的路径研究</w:t>
      </w:r>
    </w:p>
    <w:p w14:paraId="2922933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16.新时代高质量思政课案例教学及案例库建设研究</w:t>
      </w:r>
    </w:p>
    <w:p w14:paraId="2E778C7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17.重庆市民办高校思政课教学质量提升研究</w:t>
      </w:r>
    </w:p>
    <w:p w14:paraId="3B555E8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18.重庆市高校马克思主义学科布局现状研究</w:t>
      </w:r>
    </w:p>
    <w:p w14:paraId="5517D64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19.马克思主义理论学科建设与高校思政课改革创新协同发</w:t>
      </w:r>
    </w:p>
    <w:p w14:paraId="0E834F7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展研究</w:t>
      </w:r>
    </w:p>
    <w:p w14:paraId="5E8C1F2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20.高校思想政治理论课教学评价改革研究</w:t>
      </w:r>
    </w:p>
    <w:p w14:paraId="409431B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21.重庆市高校重点马克思主义学院、特色马克思主义学院建</w:t>
      </w:r>
    </w:p>
    <w:p w14:paraId="104376A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设成效研究</w:t>
      </w:r>
    </w:p>
    <w:p w14:paraId="072B70E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22.重庆市大中小学思想政治教育一体化建设研究</w:t>
      </w:r>
    </w:p>
    <w:p w14:paraId="289658E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23.数智时代高校网络思想政治教育创新研究</w:t>
      </w:r>
    </w:p>
    <w:p w14:paraId="2ADC943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24.人工智能时代高校主流意识形态安全风险及化解机制研究</w:t>
      </w:r>
    </w:p>
    <w:p w14:paraId="6B2EF21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25.新时代高校学生社团育人功能优化提升研究</w:t>
      </w:r>
    </w:p>
    <w:p w14:paraId="0309928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26.重庆市红色文化融入思想政治教育一体化的途径与策略研究</w:t>
      </w:r>
    </w:p>
    <w:p w14:paraId="637582CB">
      <w:pPr>
        <w:spacing w:line="600" w:lineRule="exact"/>
        <w:ind w:firstLine="640"/>
        <w:rPr>
          <w:rFonts w:hint="default" w:ascii="Times New Roman" w:hAnsi="Times New Roman" w:eastAsia="方正仿宋_GBK" w:cs="Times New Roman"/>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br w:type="page"/>
      </w:r>
    </w:p>
    <w:p w14:paraId="2E27A0A1">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哲学</w:t>
      </w:r>
    </w:p>
    <w:p w14:paraId="414A162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*1.习近平文化思想的哲学基础研究</w:t>
      </w:r>
    </w:p>
    <w:p w14:paraId="523FE16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*2.文化强国建设的马克思主义哲学基础研究</w:t>
      </w:r>
    </w:p>
    <w:p w14:paraId="77B812F2">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*3.马克思主义中国化时代化的文明根基、历史进程和基本经验研究</w:t>
      </w:r>
    </w:p>
    <w:p w14:paraId="6BBBD3E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*4.马克思主义科技观的当代发展与现实意义研究</w:t>
      </w:r>
    </w:p>
    <w:p w14:paraId="1FBC7C9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*5.马克思主义哲学经典文本与当代意义研究</w:t>
      </w:r>
    </w:p>
    <w:p w14:paraId="1D05621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*6.当代西方政治哲学前沿问题与发展趋势研究</w:t>
      </w:r>
    </w:p>
    <w:p w14:paraId="7290B1A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*7.马克思主义世界历史理论与当代意义研究</w:t>
      </w:r>
    </w:p>
    <w:p w14:paraId="33FCD87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*8.中西马克思主义哲学对话与当代中国哲学体系构建研究</w:t>
      </w:r>
    </w:p>
    <w:p w14:paraId="060A3ED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*9.科技时代伦理学基础理论创新与前沿挑战研究</w:t>
      </w:r>
    </w:p>
    <w:p w14:paraId="521A0C4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*10.中国哲学基础问题与当代价值研究</w:t>
      </w:r>
    </w:p>
    <w:p w14:paraId="4C5707B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11.中华传统美德传承与发展研究</w:t>
      </w:r>
    </w:p>
    <w:p w14:paraId="41D0E41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12.中华美学精神与美学理论研究</w:t>
      </w:r>
    </w:p>
    <w:p w14:paraId="05CACE3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13.人工智能与科技伦理研究</w:t>
      </w:r>
    </w:p>
    <w:p w14:paraId="50563D5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14.人工智能技术变革下知识产权伦理问题研究</w:t>
      </w:r>
    </w:p>
    <w:p w14:paraId="177B39C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15.社会发展与社会风险的哲学研究</w:t>
      </w:r>
    </w:p>
    <w:p w14:paraId="6D632EB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16.逻辑学基础理论与前沿问题研究</w:t>
      </w:r>
    </w:p>
    <w:p w14:paraId="110557D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17.当代科技前沿重大问题哲学研究</w:t>
      </w:r>
    </w:p>
    <w:p w14:paraId="15078FB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18.交叉学科视域下的科技发展哲学与伦理规范研究</w:t>
      </w:r>
    </w:p>
    <w:p w14:paraId="2452F34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19.民间信仰与中华民族共同体意识的地方实践研究</w:t>
      </w:r>
    </w:p>
    <w:p w14:paraId="5E218405">
      <w:pPr>
        <w:spacing w:line="600" w:lineRule="exact"/>
        <w:ind w:firstLine="0" w:firstLineChars="0"/>
        <w:rPr>
          <w:rFonts w:hint="default" w:ascii="Times New Roman" w:hAnsi="Times New Roman" w:eastAsia="方正仿宋_GBK" w:cs="Times New Roman"/>
          <w:bCs/>
          <w:color w:val="000000" w:themeColor="text1"/>
          <w:kern w:val="0"/>
          <w:sz w:val="32"/>
          <w:szCs w:val="32"/>
          <w14:textFill>
            <w14:solidFill>
              <w14:schemeClr w14:val="tx1"/>
            </w14:solidFill>
          </w14:textFill>
        </w:rPr>
        <w:sectPr>
          <w:headerReference r:id="rId17" w:type="default"/>
          <w:footerReference r:id="rId18" w:type="default"/>
          <w:pgSz w:w="11906" w:h="16838"/>
          <w:pgMar w:top="1985" w:right="1446" w:bottom="1644" w:left="1446" w:header="851" w:footer="992" w:gutter="0"/>
          <w:cols w:space="425" w:num="1"/>
          <w:docGrid w:type="lines" w:linePitch="312" w:charSpace="0"/>
        </w:sectPr>
      </w:pPr>
    </w:p>
    <w:p w14:paraId="46D2AF86">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政治学</w:t>
      </w:r>
    </w:p>
    <w:p w14:paraId="1BA47D4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*1.习近平总书记关于党的自我革命重要思想的学理化研究</w:t>
      </w:r>
    </w:p>
    <w:p w14:paraId="1065C45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*2.中国共产党思想建党的历史经验研究</w:t>
      </w:r>
    </w:p>
    <w:p w14:paraId="2B2ADB8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*3.深化党的建设制度改革的理论与实践研究</w:t>
      </w:r>
    </w:p>
    <w:p w14:paraId="2634CFA4">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*4.强化基层党组织政治功能和组织功能的实践进路研究</w:t>
      </w:r>
    </w:p>
    <w:p w14:paraId="530E9B3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*5.人工智能时代背景下党员教育管理创新研究</w:t>
      </w:r>
    </w:p>
    <w:p w14:paraId="7266A37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*6.加强科技创新型企业党建工作研究</w:t>
      </w:r>
    </w:p>
    <w:p w14:paraId="6699F56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*7.加强新时代廉洁文化建设研究</w:t>
      </w:r>
    </w:p>
    <w:p w14:paraId="3B6957B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*8.新时代党的作风建设常态化长效化机制研究</w:t>
      </w:r>
    </w:p>
    <w:p w14:paraId="5356469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*9.纪检监察法律法规体系研究</w:t>
      </w:r>
    </w:p>
    <w:p w14:paraId="2FDF038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*10.党建引领基层治理和基层政权建设研究</w:t>
      </w:r>
    </w:p>
    <w:p w14:paraId="1996D80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*11.政务数据赋能数字政府效能提升的机制与路径研究</w:t>
      </w:r>
    </w:p>
    <w:p w14:paraId="4AEABF7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*12.大数据算法对政治安全的影响分析及治理研究</w:t>
      </w:r>
    </w:p>
    <w:p w14:paraId="2AC0FFA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*13.政党、人民和国家关系的理论建构研究</w:t>
      </w:r>
    </w:p>
    <w:p w14:paraId="491D141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14.新时代统一战线工作的新特点与新思路研究</w:t>
      </w:r>
    </w:p>
    <w:p w14:paraId="7B99AA4C">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15.超大城市更新行动与基层治理能力提升研究</w:t>
      </w:r>
    </w:p>
    <w:p w14:paraId="512718EC">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16.超大城市社会治理的数智赋能研究</w:t>
      </w:r>
    </w:p>
    <w:p w14:paraId="63F4048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17.行业协会商会党建标准化和综合监管机制研究</w:t>
      </w:r>
    </w:p>
    <w:p w14:paraId="235F87D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18.新时代新就业群体服务管理研究</w:t>
      </w:r>
    </w:p>
    <w:p w14:paraId="22EBFFA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19.引导社会力量参与社区治理途径研究</w:t>
      </w:r>
    </w:p>
    <w:p w14:paraId="52BC7A3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20.基层协商议事机制研究</w:t>
      </w:r>
    </w:p>
    <w:p w14:paraId="23AA9A0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21.重庆基层治理创新的典型案例和成效评价研究</w:t>
      </w:r>
    </w:p>
    <w:p w14:paraId="62E3E1E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22.健全重庆市基层民主制度研究</w:t>
      </w:r>
    </w:p>
    <w:p w14:paraId="5B5E08D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23.重庆完善重大决策社会稳定和安全风险评估工作机制研究</w:t>
      </w:r>
    </w:p>
    <w:p w14:paraId="418653E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24.重庆完善社会矛盾纠纷多元预防调处化解综合机制研究</w:t>
      </w:r>
    </w:p>
    <w:p w14:paraId="594ECF44">
      <w:pPr>
        <w:spacing w:line="600" w:lineRule="exact"/>
        <w:ind w:firstLine="64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br w:type="page"/>
      </w:r>
    </w:p>
    <w:p w14:paraId="3F723C92">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国际问题研究</w:t>
      </w:r>
    </w:p>
    <w:p w14:paraId="1C8A70DA">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*1.习近平外交思想研究</w:t>
      </w:r>
    </w:p>
    <w:p w14:paraId="06181D70">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*2.周边国家对华认知与文化倾向研究</w:t>
      </w:r>
    </w:p>
    <w:p w14:paraId="662DF4AD">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*3.大国博弈和地缘政治风险对我国粮食安全的影响及对策研究</w:t>
      </w:r>
    </w:p>
    <w:p w14:paraId="0C108A63">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*4.主要发达国家颠覆性技术发展、项目布局及新兴方向研究</w:t>
      </w:r>
    </w:p>
    <w:p w14:paraId="71999CE7">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*5.世界主要国家政党政治发展的新特点与新走向研究</w:t>
      </w:r>
    </w:p>
    <w:p w14:paraId="2D2538D0">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*6.对外人才队伍建设与培养研究</w:t>
      </w:r>
    </w:p>
    <w:p w14:paraId="080156D0">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7.重庆服务对外开放大局面临问题与挑战研究</w:t>
      </w:r>
    </w:p>
    <w:p w14:paraId="366C1579">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8.重庆重点交往国家和地区的区域国别研究</w:t>
      </w:r>
    </w:p>
    <w:p w14:paraId="6B80875D">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9.重庆跨境区域合作研究</w:t>
      </w:r>
    </w:p>
    <w:p w14:paraId="3CD5F4C5">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10.国际友城合作提质增效与创新模式研究</w:t>
      </w:r>
    </w:p>
    <w:p w14:paraId="771BF850">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11.提升重庆国际传播效能与对外话语阐释研究</w:t>
      </w:r>
    </w:p>
    <w:p w14:paraId="07121199">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12.重庆应对涉外突发事件的机制与策略研究</w:t>
      </w:r>
    </w:p>
    <w:p w14:paraId="5B39C9DC">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13.重庆企业出海重点区域国别法律风险防范研究</w:t>
      </w:r>
    </w:p>
    <w:p w14:paraId="5301EE5D">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14.服务国家外交大局背景下重庆对外工作能力建设路径研究</w:t>
      </w:r>
    </w:p>
    <w:p w14:paraId="0C223FC7">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p>
    <w:p w14:paraId="18F56E8A">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p>
    <w:p w14:paraId="1A9E7548">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p>
    <w:p w14:paraId="4C061A21">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p>
    <w:p w14:paraId="21254F10">
      <w:pPr>
        <w:widowControl w:val="0"/>
        <w:spacing w:line="360" w:lineRule="auto"/>
        <w:ind w:firstLine="0" w:firstLineChars="0"/>
        <w:rPr>
          <w:rFonts w:ascii="仿宋_GB2312" w:hAnsi="Times New Roman" w:eastAsia="仿宋_GB2312"/>
          <w:sz w:val="32"/>
          <w:szCs w:val="32"/>
        </w:rPr>
      </w:pPr>
    </w:p>
    <w:p w14:paraId="2F56E1F2">
      <w:pPr>
        <w:widowControl w:val="0"/>
        <w:spacing w:line="360" w:lineRule="auto"/>
        <w:ind w:firstLine="0" w:firstLineChars="0"/>
        <w:rPr>
          <w:rFonts w:ascii="仿宋_GB2312" w:hAnsi="Times New Roman" w:eastAsia="仿宋_GB2312"/>
          <w:sz w:val="32"/>
          <w:szCs w:val="32"/>
        </w:rPr>
      </w:pPr>
    </w:p>
    <w:p w14:paraId="3326BF2E">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语言学</w:t>
      </w:r>
    </w:p>
    <w:p w14:paraId="70811F60">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*1.文化认知语言学体系建构与汉语的文化认知研究</w:t>
      </w:r>
    </w:p>
    <w:p w14:paraId="249D93A6">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*2.中国文学在东南亚翻译传播史研究</w:t>
      </w:r>
    </w:p>
    <w:p w14:paraId="4C35FED3">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*3.服务新质生产力的语言智能关键技术与大语言模型语料库建设研究</w:t>
      </w:r>
    </w:p>
    <w:p w14:paraId="4E7DD558">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*4.人机交互与国家安全语境下的语用能力与话语策略研究</w:t>
      </w:r>
    </w:p>
    <w:p w14:paraId="4C6E7200">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*5.数智化赋能国际中文教育创新与中华文化沉浸式传播研究</w:t>
      </w:r>
    </w:p>
    <w:p w14:paraId="44184C75">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*6.文明互鉴视域下的汉字理论体系比较与话语权构建研究</w:t>
      </w:r>
    </w:p>
    <w:p w14:paraId="7339F1E7">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*7.中华经典注释传统的现代转化与当代价值阐释研究</w:t>
      </w:r>
    </w:p>
    <w:p w14:paraId="11021D1D">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8.文言文智能翻译与中华思想知识图谱构建研究</w:t>
      </w:r>
    </w:p>
    <w:p w14:paraId="19238E1F">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9.大数据驱动的高端应用翻译与行业语言服务研究</w:t>
      </w:r>
    </w:p>
    <w:p w14:paraId="040FF1AA">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10.中国典籍外译与融通中外的新概念、新范畴、新表述研究</w:t>
      </w:r>
    </w:p>
    <w:p w14:paraId="72B6B549">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11.人机协同的翻译范式变革与高端翻译人才培养重塑研究</w:t>
      </w:r>
    </w:p>
    <w:p w14:paraId="6655AA01">
      <w:pPr>
        <w:widowControl w:val="0"/>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12.区域文化“走出去”的跨媒介叙事与传播效能研究</w:t>
      </w:r>
    </w:p>
    <w:p w14:paraId="7F67C532">
      <w:pPr>
        <w:widowControl w:val="0"/>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13.国家通用语言文字普及提升与区域儿童语言能力发展跟踪研究</w:t>
      </w:r>
    </w:p>
    <w:p w14:paraId="4B051164">
      <w:pPr>
        <w:widowControl w:val="0"/>
        <w:spacing w:line="600" w:lineRule="exact"/>
        <w:ind w:left="502" w:hanging="502" w:hangingChars="157"/>
        <w:rPr>
          <w:rFonts w:ascii="Times New Roman" w:hAnsi="Times New Roman" w:eastAsia="方正仿宋_GBK" w:cs="Times New Roman"/>
          <w:color w:val="000000" w:themeColor="text1"/>
          <w:sz w:val="32"/>
          <w:szCs w:val="32"/>
          <w14:textFill>
            <w14:solidFill>
              <w14:schemeClr w14:val="tx1"/>
            </w14:solidFill>
          </w14:textFill>
        </w:rPr>
      </w:pPr>
    </w:p>
    <w:p w14:paraId="1C78F77B">
      <w:pPr>
        <w:pStyle w:val="2"/>
        <w:spacing w:before="0" w:after="0" w:line="600" w:lineRule="exact"/>
        <w:ind w:firstLine="0" w:firstLineChars="0"/>
        <w:jc w:val="center"/>
        <w:rPr>
          <w:rFonts w:ascii="Times New Roman" w:hAnsi="Times New Roman" w:eastAsia="方正仿宋_GBK" w:cs="Times New Roman"/>
          <w:color w:val="000000" w:themeColor="text1"/>
          <w:kern w:val="0"/>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67BAEE77">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中国文学</w:t>
      </w:r>
    </w:p>
    <w:p w14:paraId="095B41B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*1.中国当代小说对叙事传统的传承与创新研究</w:t>
      </w:r>
    </w:p>
    <w:p w14:paraId="0CF403D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*2.中国现当代作家阅读史编纂与研究</w:t>
      </w:r>
    </w:p>
    <w:p w14:paraId="0842F43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*3.中国百年类型文学传承创新与海外传播研究</w:t>
      </w:r>
    </w:p>
    <w:p w14:paraId="0BA0B26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*4.中华民族现代文明视域下的文学理论批评话语构建研究</w:t>
      </w:r>
    </w:p>
    <w:p w14:paraId="2EE92F5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*5.中国古代文体的融通演变及其规律研究</w:t>
      </w:r>
    </w:p>
    <w:p w14:paraId="42CA54E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6.中国现当代文学经典的时代价值研究</w:t>
      </w:r>
    </w:p>
    <w:p w14:paraId="6729020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7.民间文艺的数字化建档、活态传承与共同体意识研究</w:t>
      </w:r>
    </w:p>
    <w:p w14:paraId="2B3ECE8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8.断代文学文献的整理方法与学术体系建构研究</w:t>
      </w:r>
    </w:p>
    <w:p w14:paraId="23852B84">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9.文学书写中的地域认同与国家意象研究</w:t>
      </w:r>
    </w:p>
    <w:p w14:paraId="46E33C1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10.重庆民间文艺的发展脉络与文化动力研究</w:t>
      </w:r>
    </w:p>
    <w:p w14:paraId="1684659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11.伟大抗战精神研究</w:t>
      </w:r>
    </w:p>
    <w:p w14:paraId="70393C2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12.红色文化、巴蜀文化融合发展研究</w:t>
      </w:r>
    </w:p>
    <w:p w14:paraId="5EC55ACA">
      <w:pPr>
        <w:widowControl w:val="0"/>
        <w:spacing w:line="600" w:lineRule="exact"/>
        <w:ind w:left="502" w:hanging="502" w:hangingChars="157"/>
        <w:rPr>
          <w:rFonts w:ascii="仿宋_GB2312" w:hAnsi="Times New Roman" w:eastAsia="仿宋_GB2312" w:cs="Times New Roman"/>
          <w:color w:val="000000" w:themeColor="text1"/>
          <w:sz w:val="32"/>
          <w:szCs w:val="32"/>
          <w14:textFill>
            <w14:solidFill>
              <w14:schemeClr w14:val="tx1"/>
            </w14:solidFill>
          </w14:textFill>
        </w:rPr>
      </w:pPr>
    </w:p>
    <w:p w14:paraId="5438E141">
      <w:pPr>
        <w:widowControl w:val="0"/>
        <w:spacing w:line="600" w:lineRule="exact"/>
        <w:ind w:left="502" w:hanging="502" w:hangingChars="157"/>
        <w:rPr>
          <w:rFonts w:ascii="仿宋_GB2312" w:hAnsi="Times New Roman" w:eastAsia="仿宋_GB2312" w:cs="Times New Roman"/>
          <w:color w:val="000000" w:themeColor="text1"/>
          <w:sz w:val="32"/>
          <w:szCs w:val="32"/>
          <w14:textFill>
            <w14:solidFill>
              <w14:schemeClr w14:val="tx1"/>
            </w14:solidFill>
          </w14:textFill>
        </w:rPr>
      </w:pPr>
    </w:p>
    <w:p w14:paraId="25266DB5">
      <w:pPr>
        <w:pStyle w:val="2"/>
        <w:spacing w:before="0" w:after="0" w:line="600" w:lineRule="exact"/>
        <w:ind w:firstLine="0" w:firstLineChars="0"/>
        <w:jc w:val="center"/>
        <w:rPr>
          <w:rFonts w:ascii="黑体" w:hAnsi="黑体" w:eastAsia="黑体" w:cs="宋体"/>
          <w:color w:val="000000" w:themeColor="text1"/>
          <w:kern w:val="0"/>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4E4B6C3B">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外国文学</w:t>
      </w:r>
    </w:p>
    <w:p w14:paraId="3E83E51B">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*1.人类命运共同体视域下的世界文学文明互鉴研究</w:t>
      </w:r>
    </w:p>
    <w:p w14:paraId="64F91632">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*2.外国文学中现代性问题的重新审视与研究</w:t>
      </w:r>
    </w:p>
    <w:p w14:paraId="42D570C1">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*3.外国文学中的博物馆、档案与文化遗产书写研究</w:t>
      </w:r>
    </w:p>
    <w:p w14:paraId="115367DE">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*4.中外比较文学重要理论家研究</w:t>
      </w:r>
    </w:p>
    <w:p w14:paraId="47C47BA0">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*5.中外科幻文学与当下问题研究</w:t>
      </w:r>
    </w:p>
    <w:p w14:paraId="57C78A02">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6.中外文学中的城乡书写研究</w:t>
      </w:r>
    </w:p>
    <w:p w14:paraId="1D064340">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7.数字人文视野下的中外文学研究范式转型</w:t>
      </w:r>
    </w:p>
    <w:p w14:paraId="144E9D88">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8.外国现当代重要作家、作品与文学现象研究</w:t>
      </w:r>
    </w:p>
    <w:p w14:paraId="26FE357C">
      <w:pPr>
        <w:widowControl w:val="0"/>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9.中外文论的对话与互构研究</w:t>
      </w:r>
    </w:p>
    <w:p w14:paraId="0156B00A">
      <w:pPr>
        <w:widowControl w:val="0"/>
        <w:spacing w:line="600" w:lineRule="exact"/>
        <w:ind w:left="502" w:hanging="502" w:hangingChars="157"/>
        <w:rPr>
          <w:rFonts w:ascii="仿宋_GB2312" w:eastAsia="仿宋_GB2312"/>
          <w:sz w:val="32"/>
          <w:szCs w:val="32"/>
        </w:rPr>
      </w:pPr>
      <w:r>
        <w:rPr>
          <w:rFonts w:hint="default" w:ascii="Times New Roman" w:hAnsi="Times New Roman" w:eastAsia="方正仿宋_GBK" w:cs="Times New Roman"/>
          <w:sz w:val="32"/>
          <w:szCs w:val="32"/>
        </w:rPr>
        <w:t>10.比较文学“中国学派”研究</w:t>
      </w:r>
      <w:r>
        <w:rPr>
          <w:rFonts w:ascii="仿宋_GB2312" w:eastAsia="仿宋_GB2312"/>
          <w:sz w:val="32"/>
          <w:szCs w:val="32"/>
        </w:rPr>
        <w:br w:type="page"/>
      </w:r>
    </w:p>
    <w:p w14:paraId="75AC28E0">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艺术学</w:t>
      </w:r>
    </w:p>
    <w:p w14:paraId="68A910E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*1.和美乡村景观设计理论与实践研究</w:t>
      </w:r>
    </w:p>
    <w:p w14:paraId="38F9AF0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*2.新质生产力视角下重庆工业棕地景观更新设计研究</w:t>
      </w:r>
    </w:p>
    <w:p w14:paraId="5DBD76B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*3.重庆文化艺术产业提振研究</w:t>
      </w:r>
    </w:p>
    <w:p w14:paraId="4880210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4.重庆影视专题研究</w:t>
      </w:r>
    </w:p>
    <w:p w14:paraId="767FB52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5.重庆戏曲专题研究</w:t>
      </w:r>
    </w:p>
    <w:p w14:paraId="1C55681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6.重庆音乐专题研究</w:t>
      </w:r>
    </w:p>
    <w:p w14:paraId="1386385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7.重庆美术专题研究</w:t>
      </w:r>
    </w:p>
    <w:p w14:paraId="1F2CCF4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8.重庆雕塑专题研究</w:t>
      </w:r>
    </w:p>
    <w:p w14:paraId="1518B6E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9.重庆书法专题研究</w:t>
      </w:r>
    </w:p>
    <w:p w14:paraId="702E7DA8">
      <w:pPr>
        <w:spacing w:line="600" w:lineRule="exact"/>
        <w:ind w:left="502" w:hanging="502" w:hangingChars="157"/>
        <w:rPr>
          <w:rFonts w:ascii="Times New Roman" w:hAnsi="Times New Roman" w:eastAsia="方正仿宋_GBK" w:cs="Times New Roman"/>
          <w:bCs/>
          <w:color w:val="000000" w:themeColor="text1"/>
          <w:kern w:val="0"/>
          <w:sz w:val="32"/>
          <w:szCs w:val="32"/>
          <w14:textFill>
            <w14:solidFill>
              <w14:schemeClr w14:val="tx1"/>
            </w14:solidFill>
          </w14:textFill>
        </w:rPr>
      </w:pPr>
      <w:r>
        <w:rPr>
          <w:rFonts w:hint="default" w:ascii="Times New Roman" w:hAnsi="Times New Roman" w:eastAsia="方正仿宋_GBK" w:cs="Times New Roman"/>
          <w:sz w:val="32"/>
          <w:szCs w:val="32"/>
        </w:rPr>
        <w:t>10.重庆建筑专题研究</w:t>
      </w:r>
      <w:r>
        <w:rPr>
          <w:rFonts w:ascii="Times New Roman" w:hAnsi="Times New Roman" w:eastAsia="方正仿宋_GBK" w:cs="Times New Roman"/>
          <w:bCs/>
          <w:color w:val="000000" w:themeColor="text1"/>
          <w:kern w:val="0"/>
          <w:sz w:val="32"/>
          <w:szCs w:val="32"/>
          <w14:textFill>
            <w14:solidFill>
              <w14:schemeClr w14:val="tx1"/>
            </w14:solidFill>
          </w14:textFill>
        </w:rPr>
        <w:br w:type="page"/>
      </w:r>
    </w:p>
    <w:p w14:paraId="429794E3">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bookmarkStart w:id="0" w:name="_Toc60086866"/>
      <w:r>
        <w:rPr>
          <w:rFonts w:hint="eastAsia" w:ascii="方正黑体_GBK" w:hAnsi="黑体" w:eastAsia="方正黑体_GBK" w:cs="宋体"/>
          <w:bCs/>
          <w:color w:val="000000" w:themeColor="text1"/>
          <w:kern w:val="0"/>
          <w:sz w:val="32"/>
          <w:szCs w:val="32"/>
          <w14:textFill>
            <w14:solidFill>
              <w14:schemeClr w14:val="tx1"/>
            </w14:solidFill>
          </w14:textFill>
        </w:rPr>
        <w:t>历史</w:t>
      </w:r>
      <w:bookmarkEnd w:id="0"/>
      <w:r>
        <w:rPr>
          <w:rFonts w:hint="eastAsia" w:ascii="方正黑体_GBK" w:hAnsi="黑体" w:eastAsia="方正黑体_GBK" w:cs="宋体"/>
          <w:bCs/>
          <w:color w:val="000000" w:themeColor="text1"/>
          <w:kern w:val="0"/>
          <w:sz w:val="32"/>
          <w:szCs w:val="32"/>
          <w14:textFill>
            <w14:solidFill>
              <w14:schemeClr w14:val="tx1"/>
            </w14:solidFill>
          </w14:textFill>
        </w:rPr>
        <w:t>学</w:t>
      </w:r>
    </w:p>
    <w:p w14:paraId="4C378FDF">
      <w:pPr>
        <w:spacing w:line="600" w:lineRule="exact"/>
        <w:ind w:firstLine="0" w:firstLineChars="0"/>
        <w:rPr>
          <w:rFonts w:hint="default" w:ascii="Times New Roman" w:hAnsi="Times New Roman" w:eastAsia="方正仿宋_GBK" w:cs="Times New Roman"/>
          <w:sz w:val="32"/>
          <w:szCs w:val="32"/>
        </w:rPr>
      </w:pPr>
      <w:bookmarkStart w:id="1" w:name="_Toc60086868"/>
      <w:r>
        <w:rPr>
          <w:rFonts w:hint="default" w:ascii="Times New Roman" w:hAnsi="Times New Roman" w:eastAsia="方正仿宋_GBK" w:cs="Times New Roman"/>
          <w:sz w:val="32"/>
          <w:szCs w:val="32"/>
        </w:rPr>
        <w:t>*1.中国历代水运与国家治理研究</w:t>
      </w:r>
    </w:p>
    <w:p w14:paraId="0A973BD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*2.重庆作为国家战略腹地的历史贡献研究</w:t>
      </w:r>
    </w:p>
    <w:p w14:paraId="66DED10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*3.世界商业战争史研究</w:t>
      </w:r>
    </w:p>
    <w:p w14:paraId="0D05453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4.交通体系的演变与现代重庆城市变动研究</w:t>
      </w:r>
    </w:p>
    <w:p w14:paraId="1E3E3D9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5.重庆海关历史档案整理与研究</w:t>
      </w:r>
    </w:p>
    <w:p w14:paraId="54CE343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6.抗战时期国民政府军事工业管理与运作研究</w:t>
      </w:r>
    </w:p>
    <w:p w14:paraId="05B69BD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7.抗战时期重庆地区出版史研究</w:t>
      </w:r>
    </w:p>
    <w:p w14:paraId="498664B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8.抗战时期大后方美术文献整理与研究</w:t>
      </w:r>
    </w:p>
    <w:p w14:paraId="43D2D53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9.抗战大后方乡村社会调查资料整理与研究</w:t>
      </w:r>
    </w:p>
    <w:p w14:paraId="0A4A67D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10.中国中医学史研究</w:t>
      </w:r>
    </w:p>
    <w:p w14:paraId="637D5F51">
      <w:pPr>
        <w:spacing w:line="360" w:lineRule="auto"/>
        <w:ind w:left="502" w:hanging="502" w:hangingChars="157"/>
        <w:rPr>
          <w:rFonts w:ascii="仿宋_GB2312" w:eastAsia="仿宋_GB2312"/>
          <w:sz w:val="32"/>
          <w:szCs w:val="32"/>
          <w:highlight w:val="yellow"/>
        </w:rPr>
      </w:pPr>
    </w:p>
    <w:p w14:paraId="5BBE8E93">
      <w:pPr>
        <w:spacing w:line="360" w:lineRule="auto"/>
        <w:ind w:left="502" w:hanging="502" w:hangingChars="157"/>
        <w:rPr>
          <w:rFonts w:ascii="仿宋_GB2312" w:eastAsia="仿宋_GB2312"/>
          <w:sz w:val="32"/>
          <w:szCs w:val="32"/>
          <w:highlight w:val="yellow"/>
        </w:rPr>
        <w:sectPr>
          <w:pgSz w:w="11906" w:h="16838"/>
          <w:pgMar w:top="1701" w:right="1418" w:bottom="1418" w:left="1418" w:header="851" w:footer="992" w:gutter="0"/>
          <w:cols w:space="425" w:num="1"/>
          <w:docGrid w:type="lines" w:linePitch="312" w:charSpace="0"/>
        </w:sectPr>
      </w:pPr>
    </w:p>
    <w:p w14:paraId="387089AD">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考古学</w:t>
      </w:r>
      <w:bookmarkEnd w:id="1"/>
    </w:p>
    <w:p w14:paraId="505E776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*1.重庆地区环境变化与区域文明兴衰的考古学研究</w:t>
      </w:r>
    </w:p>
    <w:p w14:paraId="5316B3A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2.三峡原始先民的人居环境研究</w:t>
      </w:r>
    </w:p>
    <w:p w14:paraId="28F711B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3.动物考古视角下的重庆地区古环境研究</w:t>
      </w:r>
    </w:p>
    <w:p w14:paraId="296E8F1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4.重庆地区古代墓葬发掘资料整理与研究</w:t>
      </w:r>
    </w:p>
    <w:p w14:paraId="11742C64">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5.考古视角下巴蜀政治中心的变迁研究</w:t>
      </w:r>
    </w:p>
    <w:p w14:paraId="30D7B34C">
      <w:pPr>
        <w:spacing w:line="600" w:lineRule="exact"/>
        <w:ind w:firstLine="640"/>
        <w:rPr>
          <w:rFonts w:ascii="仿宋_GB2312" w:eastAsia="仿宋_GB2312"/>
          <w:sz w:val="32"/>
          <w:szCs w:val="32"/>
        </w:rPr>
      </w:pPr>
      <w:r>
        <w:rPr>
          <w:rFonts w:hint="eastAsia" w:ascii="仿宋_GB2312" w:eastAsia="仿宋_GB2312"/>
          <w:sz w:val="32"/>
          <w:szCs w:val="32"/>
        </w:rPr>
        <w:br w:type="page"/>
      </w:r>
    </w:p>
    <w:p w14:paraId="5E064293">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经济学</w:t>
      </w:r>
    </w:p>
    <w:p w14:paraId="3134E4A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*1.“十五五”时期重庆经济社会发展面临的机遇与挑战研究</w:t>
      </w:r>
    </w:p>
    <w:p w14:paraId="5535DAE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*2.“十五五”时期重庆经济社会发展的目标任务研究</w:t>
      </w:r>
    </w:p>
    <w:p w14:paraId="0E1B94C8">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*3.成渝地区双城经济圈加快构建世界级先进制造业集群体系研究</w:t>
      </w:r>
    </w:p>
    <w:p w14:paraId="53276D5C">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*4.成渝地区双城经济圈要素市场化配置研究</w:t>
      </w:r>
    </w:p>
    <w:p w14:paraId="2A9B3EC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*5.重庆服务融入全国统一大市场建设与国内大循环研究</w:t>
      </w:r>
    </w:p>
    <w:p w14:paraId="20C5639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*6.西部陆海新通道提质建设研究</w:t>
      </w:r>
    </w:p>
    <w:p w14:paraId="4F8B64C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*7.重庆建设国际消费中心城市研究</w:t>
      </w:r>
    </w:p>
    <w:p w14:paraId="31A567CE">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8.中国式现代化进程中的基本公共服务均等化与共同富裕关系研究</w:t>
      </w:r>
    </w:p>
    <w:p w14:paraId="318C10F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9.重庆推进新型城镇化研究</w:t>
      </w:r>
    </w:p>
    <w:p w14:paraId="6572D5D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10.重庆推动农村一二三产</w:t>
      </w:r>
      <w:r>
        <w:rPr>
          <w:rFonts w:hint="default" w:ascii="Times New Roman" w:hAnsi="Times New Roman" w:eastAsia="方正仿宋_GBK" w:cs="Times New Roman"/>
          <w:color w:val="000000" w:themeColor="text1"/>
          <w:sz w:val="32"/>
          <w:szCs w:val="32"/>
          <w14:textFill>
            <w14:solidFill>
              <w14:schemeClr w14:val="tx1"/>
            </w14:solidFill>
          </w14:textFill>
        </w:rPr>
        <w:t>业深度</w:t>
      </w:r>
      <w:r>
        <w:rPr>
          <w:rFonts w:hint="default" w:ascii="Times New Roman" w:hAnsi="Times New Roman" w:eastAsia="方正仿宋_GBK" w:cs="Times New Roman"/>
          <w:sz w:val="32"/>
          <w:szCs w:val="32"/>
        </w:rPr>
        <w:t>融合发展研究</w:t>
      </w:r>
    </w:p>
    <w:p w14:paraId="0182E00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11.重庆粮食生产与安全保障研究</w:t>
      </w:r>
    </w:p>
    <w:p w14:paraId="14D9C34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12.重庆建设城乡融合乡村振兴示范区研究</w:t>
      </w:r>
    </w:p>
    <w:p w14:paraId="1EF5D8D6">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13.重庆促进小农户与现代农业有机衔接的实践模式研究</w:t>
      </w:r>
    </w:p>
    <w:p w14:paraId="588C4456">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14.重庆县域经济特色化发展路径与政策支持研究</w:t>
      </w:r>
    </w:p>
    <w:p w14:paraId="5EC74D85">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15.重庆银发经济发展潜力与推进策略研究</w:t>
      </w:r>
    </w:p>
    <w:p w14:paraId="0125B7B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16.重庆打造民营经济发展高地研究</w:t>
      </w:r>
    </w:p>
    <w:p w14:paraId="1F04BD0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17.重庆做大做强“33618”现代制造业集群体系研究</w:t>
      </w:r>
    </w:p>
    <w:p w14:paraId="13D5A9A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18.重庆以“人工智能+”赋能实体经济的路径研究</w:t>
      </w:r>
    </w:p>
    <w:p w14:paraId="06DB288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19.重庆构建低空经济产业集群研究</w:t>
      </w:r>
    </w:p>
    <w:p w14:paraId="20AF160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20.重庆布局发展6G产业的路径研究</w:t>
      </w:r>
    </w:p>
    <w:p w14:paraId="77ED6AA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21.重庆布局发展未来产业的路径研究</w:t>
      </w:r>
    </w:p>
    <w:p w14:paraId="6A216D8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22.重庆促进服务消费高质量发展研究</w:t>
      </w:r>
    </w:p>
    <w:p w14:paraId="1F73740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23.重庆促进消费与产业联动升级研究</w:t>
      </w:r>
    </w:p>
    <w:p w14:paraId="2B376C9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24.城市更新对农业转移人口市民化的影响研究</w:t>
      </w:r>
    </w:p>
    <w:p w14:paraId="084E99B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25.人工智能发展对重庆大学生就业的影响研究</w:t>
      </w:r>
    </w:p>
    <w:p w14:paraId="4A6C547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26.重庆制造企业数字化转型研究</w:t>
      </w:r>
    </w:p>
    <w:p w14:paraId="38F1B95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27.重庆构建绿色安全高效智慧新型能源体系研究</w:t>
      </w:r>
    </w:p>
    <w:p w14:paraId="2C60237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28.重庆对外贸易高质量发展研究</w:t>
      </w:r>
    </w:p>
    <w:p w14:paraId="7F3D2C1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29.重庆专精特新中小企业自生能力提升研究</w:t>
      </w:r>
    </w:p>
    <w:p w14:paraId="39A8D578">
      <w:pPr>
        <w:spacing w:line="600" w:lineRule="exact"/>
        <w:ind w:firstLine="0" w:firstLineChars="0"/>
        <w:jc w:val="left"/>
        <w:rPr>
          <w:rFonts w:hint="default" w:ascii="Times New Roman" w:hAnsi="Times New Roman" w:eastAsia="方正仿宋_GBK" w:cs="Times New Roman"/>
          <w:color w:val="000000" w:themeColor="text1"/>
          <w:w w:val="98"/>
          <w:sz w:val="32"/>
          <w:szCs w:val="32"/>
          <w14:textFill>
            <w14:solidFill>
              <w14:schemeClr w14:val="tx1"/>
            </w14:solidFill>
          </w14:textFill>
        </w:rPr>
      </w:pPr>
      <w:r>
        <w:rPr>
          <w:rFonts w:hint="default" w:ascii="Times New Roman" w:hAnsi="Times New Roman" w:eastAsia="方正仿宋_GBK" w:cs="Times New Roman"/>
          <w:sz w:val="32"/>
          <w:szCs w:val="32"/>
        </w:rPr>
        <w:t>30.</w:t>
      </w:r>
      <w:r>
        <w:rPr>
          <w:rFonts w:hint="default" w:ascii="Times New Roman" w:hAnsi="Times New Roman" w:eastAsia="方正仿宋_GBK" w:cs="Times New Roman"/>
          <w:color w:val="000000" w:themeColor="text1"/>
          <w:w w:val="98"/>
          <w:sz w:val="32"/>
          <w:szCs w:val="32"/>
          <w14:textFill>
            <w14:solidFill>
              <w14:schemeClr w14:val="tx1"/>
            </w14:solidFill>
          </w14:textFill>
        </w:rPr>
        <w:t>重庆推动现代服务业与先进制造业深度融合的机制与路径研究</w:t>
      </w:r>
    </w:p>
    <w:p w14:paraId="1D123B88">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31.重庆推动现代服务业与现代农业深度融合的机制与路径研究</w:t>
      </w:r>
    </w:p>
    <w:p w14:paraId="5F828933">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32.重庆扩大服务消费潜力的重点领域与政策支持研究</w:t>
      </w:r>
    </w:p>
    <w:p w14:paraId="2DD65D98">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33.重庆数字贸易创新发展研究</w:t>
      </w:r>
    </w:p>
    <w:p w14:paraId="13D1518F">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34.重庆完善农业社会化服务体系研究</w:t>
      </w:r>
    </w:p>
    <w:p w14:paraId="68D0B64F">
      <w:pPr>
        <w:spacing w:line="600" w:lineRule="exact"/>
        <w:ind w:firstLine="0" w:firstLineChars="0"/>
        <w:rPr>
          <w:rFonts w:ascii="仿宋" w:hAnsi="仿宋" w:eastAsia="仿宋" w:cs="仿宋"/>
          <w:color w:val="333333"/>
          <w:sz w:val="32"/>
          <w:szCs w:val="32"/>
          <w:shd w:val="clear" w:color="auto" w:fill="FFFFFF"/>
        </w:rPr>
      </w:pPr>
      <w:r>
        <w:rPr>
          <w:rFonts w:hint="default" w:ascii="Times New Roman" w:hAnsi="Times New Roman" w:eastAsia="方正仿宋_GBK" w:cs="Times New Roman"/>
          <w:color w:val="000000" w:themeColor="text1"/>
          <w:sz w:val="32"/>
          <w:szCs w:val="32"/>
          <w14:textFill>
            <w14:solidFill>
              <w14:schemeClr w14:val="tx1"/>
            </w14:solidFill>
          </w14:textFill>
        </w:rPr>
        <w:t>35.重庆绿色消费激励政策与公众参与机制研究</w:t>
      </w:r>
      <w:r>
        <w:rPr>
          <w:rFonts w:hint="eastAsia" w:ascii="仿宋" w:hAnsi="仿宋" w:eastAsia="仿宋" w:cs="仿宋"/>
          <w:color w:val="333333"/>
          <w:sz w:val="32"/>
          <w:szCs w:val="32"/>
          <w:shd w:val="clear" w:color="auto" w:fill="FFFFFF"/>
        </w:rPr>
        <w:br w:type="page"/>
      </w:r>
    </w:p>
    <w:p w14:paraId="29EED3A3">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bookmarkStart w:id="2" w:name="_Toc60086859"/>
      <w:r>
        <w:rPr>
          <w:rFonts w:hint="eastAsia" w:ascii="方正黑体_GBK" w:hAnsi="黑体" w:eastAsia="方正黑体_GBK" w:cs="宋体"/>
          <w:bCs/>
          <w:color w:val="000000" w:themeColor="text1"/>
          <w:kern w:val="0"/>
          <w:sz w:val="32"/>
          <w:szCs w:val="32"/>
          <w14:textFill>
            <w14:solidFill>
              <w14:schemeClr w14:val="tx1"/>
            </w14:solidFill>
          </w14:textFill>
        </w:rPr>
        <w:t>统计学</w:t>
      </w:r>
      <w:bookmarkEnd w:id="2"/>
    </w:p>
    <w:p w14:paraId="4A39CD0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*1.重庆企业“新质”资产的测度与发展路径研究</w:t>
      </w:r>
    </w:p>
    <w:p w14:paraId="267AB9C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*2.重庆“33618”现代制造业产业集群协同效应测度研究</w:t>
      </w:r>
    </w:p>
    <w:p w14:paraId="4D36621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*3.重庆现代制造业集群人才需求与供给匹配度的统计研究</w:t>
      </w:r>
    </w:p>
    <w:p w14:paraId="3A5DA874">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4.重庆数字技术融入制造业产业链的效应测度研究</w:t>
      </w:r>
    </w:p>
    <w:p w14:paraId="3614486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5.重庆数据要素参与分配的测度及政策推进研究</w:t>
      </w:r>
    </w:p>
    <w:p w14:paraId="432A5E3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6.重庆老旧社区智慧化指标评价与改造路径研究</w:t>
      </w:r>
    </w:p>
    <w:p w14:paraId="4B6DA37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7.重庆消费韧性的测度与影响因素研究</w:t>
      </w:r>
    </w:p>
    <w:p w14:paraId="4826237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8.重庆制造业关键产业链供应链韧性评估与风险预警研究</w:t>
      </w:r>
    </w:p>
    <w:p w14:paraId="7A2B6E6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9.低碳城市政策的健康效应评估研究</w:t>
      </w:r>
    </w:p>
    <w:p w14:paraId="6F36A3D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10.人工智能大模型数据安全风险的统计测度</w:t>
      </w:r>
    </w:p>
    <w:p w14:paraId="1E38E4F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11.重庆数实融合的测度与影响因素研究</w:t>
      </w:r>
    </w:p>
    <w:p w14:paraId="07B3F068">
      <w:pPr>
        <w:spacing w:line="600" w:lineRule="exact"/>
        <w:ind w:left="502" w:hanging="502" w:hangingChars="157"/>
        <w:rPr>
          <w:rFonts w:hint="default" w:ascii="Times New Roman" w:hAnsi="Times New Roman" w:eastAsia="方正仿宋_GBK" w:cs="Times New Roman"/>
          <w:sz w:val="32"/>
          <w:szCs w:val="32"/>
        </w:rPr>
      </w:pPr>
    </w:p>
    <w:p w14:paraId="1D1A8D1E">
      <w:pPr>
        <w:widowControl w:val="0"/>
        <w:spacing w:line="600" w:lineRule="exact"/>
        <w:ind w:firstLine="0" w:firstLineChars="0"/>
        <w:rPr>
          <w:rFonts w:hint="default" w:ascii="Times New Roman" w:hAnsi="Times New Roman" w:eastAsia="方正仿宋_GBK" w:cs="Times New Roman"/>
          <w:color w:val="000000" w:themeColor="text1"/>
          <w:kern w:val="0"/>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1EA46861">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管理学</w:t>
      </w:r>
    </w:p>
    <w:p w14:paraId="244518B9">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*1.“十五五”时期现代化产业体系建设对能源发展的影响及对策研究</w:t>
      </w:r>
    </w:p>
    <w:p w14:paraId="09D22FA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*2.未来产业企业技术创新与商业模式创新协同研究</w:t>
      </w:r>
    </w:p>
    <w:p w14:paraId="5F79CC5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*3.培育壮大耐心资本的制度与政策研究</w:t>
      </w:r>
    </w:p>
    <w:p w14:paraId="5EA1F15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*4.人工智能赋能企业供应链网络研究</w:t>
      </w:r>
    </w:p>
    <w:p w14:paraId="05B368A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*5.四链融合驱动企业关键核心技术突破研究</w:t>
      </w:r>
    </w:p>
    <w:p w14:paraId="4EC17E7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*6.成渝地区双城经济圈区域协同创新体系整体效能提升研究</w:t>
      </w:r>
    </w:p>
    <w:p w14:paraId="701C975B">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*7.重庆推动民营经济创新发展研究</w:t>
      </w:r>
    </w:p>
    <w:p w14:paraId="13E763E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*8.重庆构建绿色低碳发展新体制新平台新机制研究</w:t>
      </w:r>
    </w:p>
    <w:p w14:paraId="2EEFCF9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*9.数字赋能重庆公共服务合作生产研究</w:t>
      </w:r>
    </w:p>
    <w:p w14:paraId="40FC6CD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*10.低空经济赋能重庆县域城乡物流数智化发展研究</w:t>
      </w:r>
    </w:p>
    <w:p w14:paraId="2EE82D6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*11.重庆深入推进强村富民综合改革研究</w:t>
      </w:r>
    </w:p>
    <w:p w14:paraId="1C2386B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*12.重庆粮食生产与安全保障研究</w:t>
      </w:r>
    </w:p>
    <w:p w14:paraId="19F3E55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*13.重庆民营企业在新能源汽车产业链中的配套发展研究</w:t>
      </w:r>
    </w:p>
    <w:p w14:paraId="3CB1D95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*14.重庆迭代实施乡</w:t>
      </w:r>
      <w:bookmarkStart w:id="3" w:name="OLE_LINK1"/>
      <w:r>
        <w:rPr>
          <w:rFonts w:hint="default" w:ascii="Times New Roman" w:hAnsi="Times New Roman" w:eastAsia="方正仿宋_GBK" w:cs="Times New Roman"/>
          <w:sz w:val="32"/>
          <w:szCs w:val="32"/>
        </w:rPr>
        <w:t>村振兴“四千行动”</w:t>
      </w:r>
      <w:bookmarkEnd w:id="3"/>
      <w:r>
        <w:rPr>
          <w:rFonts w:hint="default" w:ascii="Times New Roman" w:hAnsi="Times New Roman" w:eastAsia="方正仿宋_GBK" w:cs="Times New Roman"/>
          <w:sz w:val="32"/>
          <w:szCs w:val="32"/>
        </w:rPr>
        <w:t>研究</w:t>
      </w:r>
    </w:p>
    <w:p w14:paraId="0DEB312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15.新就业形态劳动者权益保障研究</w:t>
      </w:r>
    </w:p>
    <w:p w14:paraId="12C868A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16.人工智能赋能成渝地区双城经济圈绿色低碳转型研究</w:t>
      </w:r>
    </w:p>
    <w:p w14:paraId="2D6381D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17.重庆对外贸易高质量发展研究</w:t>
      </w:r>
    </w:p>
    <w:p w14:paraId="5D7917A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18.重庆高标准建设国家服务外包示范城市研究</w:t>
      </w:r>
    </w:p>
    <w:p w14:paraId="098C655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19.承接东部民营企业向重庆转移的政策与环境研究</w:t>
      </w:r>
    </w:p>
    <w:p w14:paraId="6A196D8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20.人工智能赋能政府监管研究</w:t>
      </w:r>
    </w:p>
    <w:p w14:paraId="6C8B146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21.重庆民营企业数字技术运用与转型升级研究</w:t>
      </w:r>
    </w:p>
    <w:p w14:paraId="2E9B91A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22.重庆推动低空经济高质量发展的路径研究</w:t>
      </w:r>
    </w:p>
    <w:p w14:paraId="212ECD65">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23.重庆建设低空经济走廊的路径研究</w:t>
      </w:r>
    </w:p>
    <w:p w14:paraId="1B8A517E">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24.重庆物流业与制造业深度融合背景下产业链韧性提升路径研究</w:t>
      </w:r>
    </w:p>
    <w:p w14:paraId="2465124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25.重庆推进数字赋能超大城市现代化治理研究</w:t>
      </w:r>
    </w:p>
    <w:p w14:paraId="547B473F">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26.重庆智慧农业数据资产价值研究</w:t>
      </w:r>
    </w:p>
    <w:p w14:paraId="186915BA">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27.数字赋能重庆生态农产品价值共创研究</w:t>
      </w:r>
    </w:p>
    <w:p w14:paraId="1273523F">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28.重庆自贸试验区提质升级研究</w:t>
      </w:r>
    </w:p>
    <w:p w14:paraId="6D26EDE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29.重庆高校毕业生“慢就业”与就业适应性研究</w:t>
      </w:r>
    </w:p>
    <w:p w14:paraId="0981F83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30.人工智能对重庆劳动力市场结构性变迁的影响研究</w:t>
      </w:r>
    </w:p>
    <w:p w14:paraId="5A1CE18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31.人工智能赋能重庆医疗服务体系建设研究</w:t>
      </w:r>
    </w:p>
    <w:p w14:paraId="2105AA3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32.重庆发展乡村旅游研究</w:t>
      </w:r>
    </w:p>
    <w:p w14:paraId="715F476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33.重庆“教育、科技、人才”协同融合发展研究</w:t>
      </w:r>
    </w:p>
    <w:p w14:paraId="13968330">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34.重庆加快促进制造业数智化转型研究</w:t>
      </w:r>
    </w:p>
    <w:p w14:paraId="3CCA4A50">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35.重庆基础研究投入机制与前沿领域布局优化研究</w:t>
      </w:r>
    </w:p>
    <w:p w14:paraId="3791C664">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36.重庆参与建设全国一体化数据市场的定位与策略研究</w:t>
      </w:r>
    </w:p>
    <w:p w14:paraId="6E74B04F">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37.人工智能驱动科研范式变革与创新效率提升研究</w:t>
      </w:r>
    </w:p>
    <w:p w14:paraId="0D9CB991">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38.重庆促进平台经济规范健康持续发展的监管机制研究</w:t>
      </w:r>
    </w:p>
    <w:p w14:paraId="7D3D3BE8">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39.重庆养老事业与产业协同发展政策创新研究</w:t>
      </w:r>
    </w:p>
    <w:p w14:paraId="211A1A6C">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40.重庆干部队伍适应和推动现代化建设的能力提升研究</w:t>
      </w:r>
    </w:p>
    <w:p w14:paraId="1499A148">
      <w:pPr>
        <w:spacing w:line="600" w:lineRule="exact"/>
        <w:ind w:firstLine="0" w:firstLineChars="0"/>
        <w:rPr>
          <w:rFonts w:ascii="仿宋_GB2312" w:eastAsia="仿宋_GB2312"/>
          <w:color w:val="000000" w:themeColor="text1"/>
          <w:sz w:val="32"/>
          <w:szCs w:val="32"/>
          <w14:textFill>
            <w14:solidFill>
              <w14:schemeClr w14:val="tx1"/>
            </w14:solidFill>
          </w14:textFill>
        </w:rPr>
      </w:pPr>
    </w:p>
    <w:p w14:paraId="26C95B60">
      <w:pPr>
        <w:spacing w:line="600" w:lineRule="exact"/>
        <w:ind w:firstLine="0" w:firstLineChars="0"/>
        <w:rPr>
          <w:rFonts w:ascii="仿宋_GB2312" w:eastAsia="仿宋_GB2312"/>
          <w:color w:val="000000" w:themeColor="text1"/>
          <w:sz w:val="32"/>
          <w:szCs w:val="32"/>
          <w14:textFill>
            <w14:solidFill>
              <w14:schemeClr w14:val="tx1"/>
            </w14:solidFill>
          </w14:textFill>
        </w:rPr>
      </w:pPr>
    </w:p>
    <w:p w14:paraId="06205E68">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bookmarkStart w:id="4" w:name="_Toc60086861"/>
      <w:r>
        <w:rPr>
          <w:rFonts w:hint="eastAsia" w:ascii="方正黑体_GBK" w:hAnsi="黑体" w:eastAsia="方正黑体_GBK" w:cs="宋体"/>
          <w:bCs/>
          <w:color w:val="000000" w:themeColor="text1"/>
          <w:kern w:val="0"/>
          <w:sz w:val="32"/>
          <w:szCs w:val="32"/>
          <w14:textFill>
            <w14:solidFill>
              <w14:schemeClr w14:val="tx1"/>
            </w14:solidFill>
          </w14:textFill>
        </w:rPr>
        <w:t>法学</w:t>
      </w:r>
      <w:bookmarkEnd w:id="4"/>
    </w:p>
    <w:p w14:paraId="22D2609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*1.法律草案合宪性审查问题研究</w:t>
      </w:r>
    </w:p>
    <w:p w14:paraId="7BCFA1F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*2.网络暴力中的极端现象及刑法规制研究</w:t>
      </w:r>
    </w:p>
    <w:p w14:paraId="67868F1F">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*3.数字时代知识产权法基本范畴体系创新研究</w:t>
      </w:r>
    </w:p>
    <w:p w14:paraId="302D903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*4.数智赋能司法裁判的空间及保障研究</w:t>
      </w:r>
    </w:p>
    <w:p w14:paraId="5F02AD2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*5.人工智能侵权风险与法律应对研究</w:t>
      </w:r>
    </w:p>
    <w:p w14:paraId="04B89D5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*6.数字时代经济制裁的合法性边界研究</w:t>
      </w:r>
    </w:p>
    <w:p w14:paraId="3978B79F">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*7.老龄社会背景下数字治理与法治研究</w:t>
      </w:r>
    </w:p>
    <w:p w14:paraId="67291E4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*8.跨境数据流通的法治体系研究</w:t>
      </w:r>
    </w:p>
    <w:p w14:paraId="2F7ABF7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*9.成渝地区双城经济圈地理标志法律保护协同机制研究</w:t>
      </w:r>
    </w:p>
    <w:p w14:paraId="13100AE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*10.重庆超大城市治理法治化路径研究</w:t>
      </w:r>
    </w:p>
    <w:p w14:paraId="697E1AA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*11.仲裁服务护航重庆企业“出海”研究</w:t>
      </w:r>
    </w:p>
    <w:p w14:paraId="25D0518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12.新就业形态劳动法研究</w:t>
      </w:r>
    </w:p>
    <w:p w14:paraId="43D3927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13.司法鉴定决策中人工智能技术应用研究</w:t>
      </w:r>
    </w:p>
    <w:p w14:paraId="26A789F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14.全国统一算力大市场的竞争法研究</w:t>
      </w:r>
    </w:p>
    <w:p w14:paraId="0464D0A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15.面向生态文明建设的生态修复法律规制研究</w:t>
      </w:r>
    </w:p>
    <w:p w14:paraId="2AA55D2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16.数字生态系统反垄断法研究</w:t>
      </w:r>
    </w:p>
    <w:p w14:paraId="24F45E4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17.低空经济高质量发展的法治保障研究</w:t>
      </w:r>
    </w:p>
    <w:p w14:paraId="4DD1252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18.人工智能合成内容法律责任与规制机制研究</w:t>
      </w:r>
    </w:p>
    <w:p w14:paraId="6B8B29D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19.算法不正当竞争行为的责任认定与法律规制研究</w:t>
      </w:r>
    </w:p>
    <w:p w14:paraId="54D069A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20.低空飞行安全数字监管与法治保障研究</w:t>
      </w:r>
    </w:p>
    <w:p w14:paraId="5A71279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21.数字技术推动刑事诉讼程序改革的法治研究</w:t>
      </w:r>
    </w:p>
    <w:p w14:paraId="4207DCF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22.重庆新能源汽车标准必要专利池构建研究</w:t>
      </w:r>
    </w:p>
    <w:p w14:paraId="42B4A9C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23.重庆深化乡镇（街道）综合行政执法改革研究</w:t>
      </w:r>
    </w:p>
    <w:p w14:paraId="27E2EE8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24.重庆数字经济示范区数据主权与跨境流动安全风险防范研究</w:t>
      </w:r>
    </w:p>
    <w:p w14:paraId="32C98A78">
      <w:pPr>
        <w:spacing w:line="600" w:lineRule="exact"/>
        <w:ind w:left="502" w:hanging="502" w:hangingChars="157"/>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25.重庆促进平台经济规范健康持续发展的监管机制研究</w:t>
      </w:r>
    </w:p>
    <w:p w14:paraId="747E2FDB">
      <w:pPr>
        <w:spacing w:line="600" w:lineRule="exact"/>
        <w:ind w:left="502" w:hanging="502" w:hangingChars="157"/>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26.重庆超大城市现代化治理法治保障研究</w:t>
      </w:r>
    </w:p>
    <w:p w14:paraId="6ABD5957">
      <w:pPr>
        <w:spacing w:line="600" w:lineRule="exact"/>
        <w:ind w:left="502" w:hanging="502" w:hangingChars="157"/>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27.成渝地区双城经济圈法治一体化研究</w:t>
      </w:r>
    </w:p>
    <w:p w14:paraId="6620657A">
      <w:pPr>
        <w:spacing w:line="600" w:lineRule="exact"/>
        <w:ind w:left="502" w:hanging="502" w:hangingChars="157"/>
        <w:rPr>
          <w:rFonts w:ascii="仿宋_GB2312" w:eastAsia="仿宋_GB2312"/>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28.西部陆海新通道涉外法律风险防范研究</w:t>
      </w:r>
      <w:r>
        <w:rPr>
          <w:rFonts w:ascii="仿宋_GB2312" w:eastAsia="仿宋_GB2312"/>
          <w:sz w:val="32"/>
          <w:szCs w:val="32"/>
        </w:rPr>
        <w:br w:type="page"/>
      </w:r>
    </w:p>
    <w:p w14:paraId="03E1E871">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bookmarkStart w:id="5" w:name="_Toc60086862"/>
      <w:r>
        <w:rPr>
          <w:rFonts w:hint="eastAsia" w:ascii="方正黑体_GBK" w:hAnsi="黑体" w:eastAsia="方正黑体_GBK" w:cs="宋体"/>
          <w:bCs/>
          <w:color w:val="000000" w:themeColor="text1"/>
          <w:kern w:val="0"/>
          <w:sz w:val="32"/>
          <w:szCs w:val="32"/>
          <w14:textFill>
            <w14:solidFill>
              <w14:schemeClr w14:val="tx1"/>
            </w14:solidFill>
          </w14:textFill>
        </w:rPr>
        <w:t>社会学</w:t>
      </w:r>
      <w:bookmarkEnd w:id="5"/>
    </w:p>
    <w:p w14:paraId="0C9EF8D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*1.重大政策、重大项目、重大生产力布局就业影响评估指标体系及机制研究</w:t>
      </w:r>
    </w:p>
    <w:p w14:paraId="49BD160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*2.新发展社会学视角下乡村全面振兴研究</w:t>
      </w:r>
    </w:p>
    <w:p w14:paraId="76025CF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*3.脱贫地区低收入人口帮扶研究</w:t>
      </w:r>
    </w:p>
    <w:p w14:paraId="53B61EF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*4.超大城市更新背景下社区服务研究</w:t>
      </w:r>
    </w:p>
    <w:p w14:paraId="0CCEC77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*5.多层次保障住房对居民消费的影响研究</w:t>
      </w:r>
    </w:p>
    <w:p w14:paraId="73C702F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*6.基于数字干预的社区健康管理研究</w:t>
      </w:r>
    </w:p>
    <w:p w14:paraId="34CA66D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*7.极端社会事件的社区预警机制研究</w:t>
      </w:r>
    </w:p>
    <w:p w14:paraId="53D7681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*8.数智化背景下青年群体的社会心理、行为特点及形成机制研究</w:t>
      </w:r>
    </w:p>
    <w:p w14:paraId="09C055F5">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*9.重庆青少年健康管理的社会支持体系研究</w:t>
      </w:r>
    </w:p>
    <w:p w14:paraId="32AE3C3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*10.数字抚育对农村留守儿童发展的影响研究</w:t>
      </w:r>
    </w:p>
    <w:p w14:paraId="614819B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*11.重庆新就业群体的社会工作服务体系研究</w:t>
      </w:r>
    </w:p>
    <w:p w14:paraId="26103DC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12.重庆乡村治理数字化转型研究</w:t>
      </w:r>
    </w:p>
    <w:p w14:paraId="581DE3A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13.重庆非连续参保灵活就业人员社会保障研究</w:t>
      </w:r>
    </w:p>
    <w:p w14:paraId="0DB2CBD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14.重庆普惠托育服务的社区嵌入研究</w:t>
      </w:r>
    </w:p>
    <w:p w14:paraId="1F42D8F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15.高额彩礼对农村青年婚育的影响研究</w:t>
      </w:r>
    </w:p>
    <w:p w14:paraId="628A37BF">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16.重庆保障性住房社区共同体培育路径研究</w:t>
      </w:r>
    </w:p>
    <w:p w14:paraId="6B89872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17.重庆现代农业绿色发展的社会动力机制研究</w:t>
      </w:r>
    </w:p>
    <w:p w14:paraId="1613E60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18.重庆健全多层次社会保障体系研究</w:t>
      </w:r>
    </w:p>
    <w:p w14:paraId="146C46D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19.重庆新就业群体城市化问题研究 </w:t>
      </w:r>
    </w:p>
    <w:p w14:paraId="18E5F3E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20.重庆农村社区养老服务网络构建与协同治理研究</w:t>
      </w:r>
    </w:p>
    <w:p w14:paraId="48CACA4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21.重庆促进各民族交往交流交融的实践研究</w:t>
      </w:r>
    </w:p>
    <w:p w14:paraId="26BF963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22.重庆建设统筹适配的农村养老服务体系研究</w:t>
      </w:r>
    </w:p>
    <w:p w14:paraId="2512F61A">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23.重庆构建就业友好型发展方式的路径研究</w:t>
      </w:r>
    </w:p>
    <w:p w14:paraId="637811BE">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24.重庆</w:t>
      </w:r>
      <w:bookmarkStart w:id="6" w:name="OLE_LINK2"/>
      <w:r>
        <w:rPr>
          <w:rFonts w:hint="default" w:ascii="Times New Roman" w:hAnsi="Times New Roman" w:eastAsia="方正仿宋_GBK" w:cs="Times New Roman"/>
          <w:color w:val="000000" w:themeColor="text1"/>
          <w:sz w:val="32"/>
          <w:szCs w:val="32"/>
          <w14:textFill>
            <w14:solidFill>
              <w14:schemeClr w14:val="tx1"/>
            </w14:solidFill>
          </w14:textFill>
        </w:rPr>
        <w:t>健全学校家庭社会协同育人机制研究</w:t>
      </w:r>
      <w:bookmarkEnd w:id="6"/>
    </w:p>
    <w:p w14:paraId="1EF3405C">
      <w:pPr>
        <w:spacing w:line="600" w:lineRule="exact"/>
        <w:ind w:left="502" w:hanging="502" w:hangingChars="157"/>
        <w:rPr>
          <w:rFonts w:ascii="仿宋_GB2312" w:hAnsi="Times New Roman" w:eastAsia="仿宋_GB2312" w:cs="Times New Roman"/>
          <w:sz w:val="32"/>
          <w:szCs w:val="32"/>
        </w:rPr>
      </w:pPr>
    </w:p>
    <w:p w14:paraId="74F8C49D">
      <w:pPr>
        <w:spacing w:line="600" w:lineRule="exact"/>
        <w:ind w:firstLine="199" w:firstLineChars="95"/>
        <w:rPr>
          <w:color w:val="000000" w:themeColor="text1"/>
          <w14:textFill>
            <w14:solidFill>
              <w14:schemeClr w14:val="tx1"/>
            </w14:solidFill>
          </w14:textFill>
        </w:rPr>
        <w:sectPr>
          <w:headerReference r:id="rId21" w:type="first"/>
          <w:footerReference r:id="rId24" w:type="first"/>
          <w:headerReference r:id="rId19" w:type="default"/>
          <w:footerReference r:id="rId22" w:type="default"/>
          <w:headerReference r:id="rId20" w:type="even"/>
          <w:footerReference r:id="rId23" w:type="even"/>
          <w:pgSz w:w="11906" w:h="16838"/>
          <w:pgMar w:top="1985" w:right="1446" w:bottom="1644" w:left="1446" w:header="851" w:footer="992" w:gutter="0"/>
          <w:cols w:space="425" w:num="1"/>
          <w:docGrid w:type="lines" w:linePitch="312" w:charSpace="0"/>
        </w:sectPr>
      </w:pPr>
    </w:p>
    <w:p w14:paraId="069BA7E9">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人口学</w:t>
      </w:r>
    </w:p>
    <w:p w14:paraId="1C85464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*1.重庆“十五五”时期的人口问题研究</w:t>
      </w:r>
    </w:p>
    <w:p w14:paraId="3FE5C0D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*2.重庆市人口老龄化发展趋势与对策研究</w:t>
      </w:r>
    </w:p>
    <w:p w14:paraId="6C24215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*3.重庆推动农民工市民化质量提升研究</w:t>
      </w:r>
    </w:p>
    <w:p w14:paraId="4120F98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4.重庆建立低收入人口常态化帮扶机制研究</w:t>
      </w:r>
    </w:p>
    <w:p w14:paraId="2910822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5.重庆老年人口变动与医养服务资源协同适配研究</w:t>
      </w:r>
    </w:p>
    <w:p w14:paraId="795D3BFF">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6.人口变化新形势下的财政收支结构优化研究</w:t>
      </w:r>
    </w:p>
    <w:p w14:paraId="08D3AA3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7.银发经济与老年人力资源开发研究</w:t>
      </w:r>
    </w:p>
    <w:p w14:paraId="3B34B35A">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8.人口负增长及其经济社会影响研究</w:t>
      </w:r>
    </w:p>
    <w:p w14:paraId="6FD15B35">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9.城市化发展中后期人口流迁研究</w:t>
      </w:r>
    </w:p>
    <w:p w14:paraId="4DA5067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10.生育支持政策组合实施效果评价及优化策略研究</w:t>
      </w:r>
    </w:p>
    <w:p w14:paraId="729AAB3B">
      <w:pPr>
        <w:spacing w:line="600" w:lineRule="exact"/>
        <w:ind w:left="502" w:hanging="502" w:hangingChars="157"/>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11.成渝地区双城经济圈人口结构与产业协同发展研究</w:t>
      </w:r>
    </w:p>
    <w:p w14:paraId="4EF54FE7">
      <w:pPr>
        <w:widowControl w:val="0"/>
        <w:spacing w:line="600" w:lineRule="exact"/>
        <w:ind w:left="502" w:hanging="502" w:hangingChars="157"/>
        <w:rPr>
          <w:rFonts w:hint="default" w:ascii="Times New Roman" w:hAnsi="Times New Roman" w:eastAsia="方正仿宋_GBK" w:cs="Times New Roman"/>
          <w:color w:val="000000" w:themeColor="text1"/>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340740DD">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民族学</w:t>
      </w:r>
    </w:p>
    <w:p w14:paraId="1550200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*1.数智赋能重庆民族地区高质量发展研究</w:t>
      </w:r>
    </w:p>
    <w:p w14:paraId="3DE85EF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*2.重庆民族地区和美乡村建设评价与路径优化研究</w:t>
      </w:r>
    </w:p>
    <w:p w14:paraId="168F0D35">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*3.提升重庆民族地区产业韧性的机制与路径研究</w:t>
      </w:r>
    </w:p>
    <w:p w14:paraId="08FA72F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4.重庆民族地区特色产业富民效应及提升策略研究</w:t>
      </w:r>
    </w:p>
    <w:p w14:paraId="0B181C0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5.重庆民族地区小农经济现代化改造研究</w:t>
      </w:r>
    </w:p>
    <w:p w14:paraId="36F742C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6.重庆民族地区构建乡村治理共同体的路径研究</w:t>
      </w:r>
    </w:p>
    <w:p w14:paraId="46C8D1A3">
      <w:pPr>
        <w:spacing w:line="600" w:lineRule="exact"/>
        <w:ind w:firstLine="0" w:firstLineChars="0"/>
        <w:rPr>
          <w:rFonts w:hint="default" w:ascii="Times New Roman" w:hAnsi="Times New Roman" w:eastAsia="方正仿宋_GBK" w:cs="Times New Roman"/>
          <w:bCs/>
          <w:color w:val="000000" w:themeColor="text1"/>
          <w:kern w:val="0"/>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r>
        <w:rPr>
          <w:rFonts w:hint="default" w:ascii="Times New Roman" w:hAnsi="Times New Roman" w:eastAsia="方正仿宋_GBK" w:cs="Times New Roman"/>
          <w:sz w:val="32"/>
          <w:szCs w:val="32"/>
        </w:rPr>
        <w:t>7.重庆民族地区“一老一小”服务保障研究</w:t>
      </w:r>
    </w:p>
    <w:p w14:paraId="211F26CB">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新闻与传播学</w:t>
      </w:r>
    </w:p>
    <w:p w14:paraId="432005A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*1.国际涉华虚假信息传播及应对策略研究</w:t>
      </w:r>
    </w:p>
    <w:p w14:paraId="3E858B3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*2.地方国际传播机构专业化、多元化能力研究</w:t>
      </w:r>
    </w:p>
    <w:p w14:paraId="243ABBFC">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*3.智能媒体使用对青少年社会情感能力的影响研究</w:t>
      </w:r>
    </w:p>
    <w:p w14:paraId="7C4A87D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*4.基于多源数据信息的突发舆情风险预警及其治理研究</w:t>
      </w:r>
    </w:p>
    <w:p w14:paraId="52492B8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*5.社交媒体虚假信息检测及治理研究</w:t>
      </w:r>
    </w:p>
    <w:p w14:paraId="5C17A25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*6.主流媒体在地化传播力影响力提升研究</w:t>
      </w:r>
    </w:p>
    <w:p w14:paraId="11BC150A">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*7.沉浸式传播理论建构与路径研究</w:t>
      </w:r>
    </w:p>
    <w:p w14:paraId="777FD8E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*8.人工智能赋能重庆学术期刊高质量发展研究</w:t>
      </w:r>
    </w:p>
    <w:p w14:paraId="7EB0FF9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*9.重庆区县融媒体中心传播力提升研究</w:t>
      </w:r>
    </w:p>
    <w:p w14:paraId="67493C0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*10.提升重庆城市形象的策略研究</w:t>
      </w:r>
    </w:p>
    <w:p w14:paraId="7F900CF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11.创意产业和创意生态建设研究</w:t>
      </w:r>
    </w:p>
    <w:p w14:paraId="544D48D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12.微短剧全球传播机制与路径研究</w:t>
      </w:r>
    </w:p>
    <w:p w14:paraId="33EFA76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13.人工智能背景下新闻传播人才培养研究</w:t>
      </w:r>
    </w:p>
    <w:p w14:paraId="0BF5478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14.数据要素嵌入与出版产业创新研究</w:t>
      </w:r>
    </w:p>
    <w:p w14:paraId="5BC6A3BE">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15.老年人数字成瘾的成因与治理研究</w:t>
      </w:r>
    </w:p>
    <w:p w14:paraId="6E84A0B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16.网络语言传播对学龄儿童发展的影响研究</w:t>
      </w:r>
    </w:p>
    <w:p w14:paraId="71166D8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17.大模型时代重庆青年群体人机情感交互与伦理治理研究</w:t>
      </w:r>
    </w:p>
    <w:p w14:paraId="04741D2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18.智能化背景下重庆乡村社会媒介化治理研究</w:t>
      </w:r>
    </w:p>
    <w:p w14:paraId="758E02B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19.重庆国际传播融媒栏目实践案例研究</w:t>
      </w:r>
    </w:p>
    <w:p w14:paraId="640AA86D">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20.重庆文化内涵和文化IP国际传播研究</w:t>
      </w:r>
    </w:p>
    <w:p w14:paraId="515F97A9">
      <w:pPr>
        <w:spacing w:line="600" w:lineRule="exact"/>
        <w:ind w:left="502" w:hanging="502" w:hangingChars="157"/>
        <w:rPr>
          <w:rFonts w:ascii="Times New Roman" w:hAnsi="Times New Roman" w:eastAsia="方正仿宋_GBK" w:cs="Times New Roman"/>
          <w:sz w:val="32"/>
          <w:szCs w:val="32"/>
        </w:rPr>
      </w:pPr>
    </w:p>
    <w:p w14:paraId="07EC5350">
      <w:pPr>
        <w:spacing w:line="600" w:lineRule="exact"/>
        <w:ind w:firstLine="304" w:firstLineChars="95"/>
        <w:rPr>
          <w:rFonts w:ascii="Times New Roman" w:hAnsi="Times New Roman" w:eastAsia="方正仿宋_GBK" w:cs="Times New Roman"/>
          <w:bCs/>
          <w:color w:val="000000" w:themeColor="text1"/>
          <w:kern w:val="0"/>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1044E541">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图书情报文献学</w:t>
      </w:r>
    </w:p>
    <w:p w14:paraId="3E1BA32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*1.总体国家安全观视域下档案开放制度研究</w:t>
      </w:r>
    </w:p>
    <w:p w14:paraId="454E5C3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*2.世界一流公共图书馆建设的理论与实践研究</w:t>
      </w:r>
    </w:p>
    <w:p w14:paraId="6A34966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*3.数字化转型背景下图书馆治理能力现代化研究</w:t>
      </w:r>
    </w:p>
    <w:p w14:paraId="7E7AC0E2">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*4.面向治理现代化的档案工作研究</w:t>
      </w:r>
    </w:p>
    <w:p w14:paraId="4646ABA4">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*5.高校图书馆科研服务韧性测度研究</w:t>
      </w:r>
    </w:p>
    <w:p w14:paraId="20339111">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*6.档案数据确权问题研究</w:t>
      </w:r>
    </w:p>
    <w:p w14:paraId="7550EE86">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*7.档案数据价值链运行与优化研究</w:t>
      </w:r>
    </w:p>
    <w:p w14:paraId="3CDB711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*8.数字化转型的可信数据空间构建研究</w:t>
      </w:r>
    </w:p>
    <w:p w14:paraId="498EFE5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9.档案数据要素治理研究</w:t>
      </w:r>
    </w:p>
    <w:p w14:paraId="0DC007C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10.信息成瘾行为的监测与管理机制研究</w:t>
      </w:r>
    </w:p>
    <w:p w14:paraId="1AF8262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11.智能体赋能下的科技情报服务研究</w:t>
      </w:r>
    </w:p>
    <w:p w14:paraId="3CDC8879">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12.人工智能生成内容的真实性风险与档案治理研究</w:t>
      </w:r>
    </w:p>
    <w:p w14:paraId="736C6FC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13.档案数据价值链的生成机制与运行规律研究</w:t>
      </w:r>
    </w:p>
    <w:p w14:paraId="22094617">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14.智慧图书馆人工智能生成内容可信研究</w:t>
      </w:r>
    </w:p>
    <w:p w14:paraId="58D2B2B3">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15.重庆档案产业高质量发展研究</w:t>
      </w:r>
    </w:p>
    <w:p w14:paraId="261E6EC5">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16.数据流通利用背景下的档案数据质量研究</w:t>
      </w:r>
    </w:p>
    <w:p w14:paraId="788C4B10">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17.重庆档案数据质量评价及提升策略研究</w:t>
      </w:r>
    </w:p>
    <w:p w14:paraId="39289A4D">
      <w:pPr>
        <w:spacing w:line="600" w:lineRule="exact"/>
        <w:ind w:left="502" w:hanging="502" w:hangingChars="157"/>
        <w:rPr>
          <w:rFonts w:ascii="Times New Roman" w:hAnsi="Times New Roman" w:eastAsia="方正仿宋_GBK" w:cs="Times New Roman"/>
          <w:bCs/>
          <w:color w:val="000000" w:themeColor="text1"/>
          <w:kern w:val="0"/>
          <w:sz w:val="32"/>
          <w:szCs w:val="32"/>
          <w14:textFill>
            <w14:solidFill>
              <w14:schemeClr w14:val="tx1"/>
            </w14:solidFill>
          </w14:textFill>
        </w:rPr>
      </w:pPr>
    </w:p>
    <w:p w14:paraId="65B44E9E">
      <w:pPr>
        <w:spacing w:line="600" w:lineRule="exact"/>
        <w:ind w:firstLine="304" w:firstLineChars="95"/>
        <w:rPr>
          <w:rFonts w:ascii="Times New Roman" w:hAnsi="Times New Roman" w:eastAsia="方正仿宋_GBK" w:cs="Times New Roman"/>
          <w:bCs/>
          <w:color w:val="000000" w:themeColor="text1"/>
          <w:kern w:val="0"/>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5138EAA6">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教育学/心理学</w:t>
      </w:r>
    </w:p>
    <w:p w14:paraId="0F8EC7B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bookmarkStart w:id="7" w:name="OLE_LINK4"/>
      <w:r>
        <w:rPr>
          <w:rFonts w:hint="default" w:ascii="Times New Roman" w:hAnsi="Times New Roman" w:eastAsia="方正仿宋_GBK" w:cs="Times New Roman"/>
          <w:sz w:val="32"/>
          <w:szCs w:val="32"/>
        </w:rPr>
        <w:t>马克思主义教育思想</w:t>
      </w:r>
      <w:bookmarkEnd w:id="7"/>
      <w:r>
        <w:rPr>
          <w:rFonts w:hint="default" w:ascii="Times New Roman" w:hAnsi="Times New Roman" w:eastAsia="方正仿宋_GBK" w:cs="Times New Roman"/>
          <w:sz w:val="32"/>
          <w:szCs w:val="32"/>
        </w:rPr>
        <w:t>经典文献研究</w:t>
      </w:r>
      <w:r>
        <w:rPr>
          <w:rFonts w:hint="default" w:ascii="Times New Roman" w:hAnsi="Times New Roman" w:eastAsia="方正仿宋_GBK" w:cs="Times New Roman"/>
          <w:sz w:val="24"/>
          <w:szCs w:val="24"/>
        </w:rPr>
        <w:t xml:space="preserve"> </w:t>
      </w:r>
    </w:p>
    <w:p w14:paraId="738F553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*2.县域农村教育质量提升研究</w:t>
      </w:r>
    </w:p>
    <w:p w14:paraId="5CC44A1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*3.县域普惠育幼服务体系构建与保障机制研究</w:t>
      </w:r>
    </w:p>
    <w:p w14:paraId="715B0F9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*4.与人口变化相适应的基础教育资源统筹调配机制研究</w:t>
      </w:r>
      <w:r>
        <w:rPr>
          <w:rFonts w:hint="default" w:ascii="Times New Roman" w:hAnsi="Times New Roman" w:eastAsia="方正仿宋_GBK" w:cs="Times New Roman"/>
          <w:sz w:val="24"/>
          <w:szCs w:val="24"/>
        </w:rPr>
        <w:t xml:space="preserve"> </w:t>
      </w:r>
    </w:p>
    <w:p w14:paraId="4D733A9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*5.职业教育“新双高”改革研究</w:t>
      </w:r>
    </w:p>
    <w:p w14:paraId="589BF8E4">
      <w:pPr>
        <w:spacing w:line="600" w:lineRule="exact"/>
        <w:ind w:firstLine="0" w:firstLineChars="0"/>
        <w:rPr>
          <w:rFonts w:hint="default" w:ascii="Times New Roman" w:hAnsi="Times New Roman" w:eastAsia="方正仿宋_GBK" w:cs="Times New Roman"/>
          <w:sz w:val="32"/>
          <w:szCs w:val="32"/>
        </w:rPr>
      </w:pPr>
      <w:bookmarkStart w:id="8" w:name="OLE_LINK6"/>
      <w:r>
        <w:rPr>
          <w:rFonts w:hint="default" w:ascii="Times New Roman" w:hAnsi="Times New Roman" w:eastAsia="方正仿宋_GBK" w:cs="Times New Roman"/>
          <w:sz w:val="32"/>
          <w:szCs w:val="32"/>
        </w:rPr>
        <w:t>*6.基于人工智能技术的教学模式创新研究</w:t>
      </w:r>
      <w:bookmarkEnd w:id="8"/>
    </w:p>
    <w:p w14:paraId="72A81F9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*7.成渝地区双城经济圈教育高质量发展路径研究</w:t>
      </w:r>
    </w:p>
    <w:p w14:paraId="36D0B8C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*8.重庆统筹推动教育强市、西部创新高地和人才中心建设研究</w:t>
      </w:r>
    </w:p>
    <w:p w14:paraId="004C6FF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*9.重庆建设西部基础教育排头兵的策略与路径研究</w:t>
      </w:r>
    </w:p>
    <w:p w14:paraId="0F6F7AB9">
      <w:pPr>
        <w:spacing w:line="600" w:lineRule="exact"/>
        <w:ind w:firstLine="0" w:firstLineChars="0"/>
        <w:rPr>
          <w:rFonts w:hint="default" w:ascii="Times New Roman" w:hAnsi="Times New Roman" w:eastAsia="方正仿宋_GBK" w:cs="Times New Roman"/>
          <w:w w:val="95"/>
          <w:sz w:val="32"/>
          <w:szCs w:val="32"/>
        </w:rPr>
      </w:pPr>
      <w:r>
        <w:rPr>
          <w:rFonts w:hint="default" w:ascii="Times New Roman" w:hAnsi="Times New Roman" w:eastAsia="方正仿宋_GBK" w:cs="Times New Roman"/>
          <w:w w:val="95"/>
          <w:sz w:val="32"/>
          <w:szCs w:val="32"/>
        </w:rPr>
        <w:t>*10.重庆市“高校、科研院所和企业人才共育共享共用机制”改革研究</w:t>
      </w:r>
    </w:p>
    <w:p w14:paraId="42C3BC9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*11.重庆高校学风建设研究 </w:t>
      </w:r>
    </w:p>
    <w:p w14:paraId="6A26A33C">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*12.幼儿保育过程性质量提升路径与策略研究</w:t>
      </w:r>
    </w:p>
    <w:p w14:paraId="6751118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*13.重庆市高中阶段学校设置布局与体制机制研究</w:t>
      </w:r>
    </w:p>
    <w:p w14:paraId="2C1B6FD8">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*14.教育强市背景下重庆市中等职业学校发展现状分析与优化布局研究</w:t>
      </w:r>
    </w:p>
    <w:p w14:paraId="339E839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*15.重庆市高等教育评价改革的现实困境及对策研究</w:t>
      </w:r>
    </w:p>
    <w:p w14:paraId="632B14B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*16.完善重庆市乡村教育帮扶体系研究</w:t>
      </w:r>
    </w:p>
    <w:p w14:paraId="06C5A62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17.重庆高校运用新时代伟大变革成功案例落实立德树人有效途径研究 </w:t>
      </w:r>
    </w:p>
    <w:p w14:paraId="6784674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18.教育强市战略下重庆有组织教育科研机制创新与实施研究 </w:t>
      </w:r>
    </w:p>
    <w:p w14:paraId="5D7A2C3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19.重庆幼儿园教师课程融合育人实践策略研究</w:t>
      </w:r>
    </w:p>
    <w:p w14:paraId="32FE05C7">
      <w:pPr>
        <w:spacing w:line="600" w:lineRule="exact"/>
        <w:ind w:firstLine="0" w:firstLineChars="0"/>
        <w:rPr>
          <w:rFonts w:hint="default" w:ascii="Times New Roman" w:hAnsi="Times New Roman" w:eastAsia="方正仿宋_GBK" w:cs="Times New Roman"/>
          <w:b/>
          <w:bCs/>
          <w:sz w:val="32"/>
          <w:szCs w:val="32"/>
        </w:rPr>
      </w:pPr>
      <w:r>
        <w:rPr>
          <w:rFonts w:hint="default" w:ascii="Times New Roman" w:hAnsi="Times New Roman" w:eastAsia="方正仿宋_GBK" w:cs="Times New Roman"/>
          <w:sz w:val="32"/>
          <w:szCs w:val="32"/>
        </w:rPr>
        <w:t xml:space="preserve">20.人口低生育率背景下重庆基础教育高质量发展策略研究 </w:t>
      </w:r>
    </w:p>
    <w:p w14:paraId="5630830D">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21.重庆市义务教育地方教材建设与管理研究</w:t>
      </w:r>
    </w:p>
    <w:p w14:paraId="1E2068C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22.重庆中小学人工智能教育研究 </w:t>
      </w:r>
    </w:p>
    <w:p w14:paraId="5C6193E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23.重庆中小学教师师德考核评价机制研究</w:t>
      </w:r>
    </w:p>
    <w:p w14:paraId="2674FD4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24.以核心素养为导向的重庆中小学学生学习能力评价体系研究</w:t>
      </w:r>
    </w:p>
    <w:p w14:paraId="71259B9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25.重庆市中小学人工智能课程体系构建及数智化实现路径研究</w:t>
      </w:r>
    </w:p>
    <w:p w14:paraId="4ACF6B1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26.人工智能赋能重庆职业教育高质量发展的策略与路径研究 </w:t>
      </w:r>
    </w:p>
    <w:p w14:paraId="124C2CD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27.教育强市背景下重庆职业教育贯通培养专业共同体建设路径与策略研究</w:t>
      </w:r>
    </w:p>
    <w:p w14:paraId="0F612BF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28.重庆市高等职业教育资源下沉区县运行机制研究  </w:t>
      </w:r>
    </w:p>
    <w:p w14:paraId="1DE17ABB">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29.基于“低空经济创新发展之城”建设目标的重庆高技能人才培养体系研究 </w:t>
      </w:r>
    </w:p>
    <w:p w14:paraId="6E2E080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30.人工智能赋能重庆职业教育高质量发展的有效路径研究</w:t>
      </w:r>
    </w:p>
    <w:p w14:paraId="76F732A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31.新质生产力视域下重庆职业本科人才培养模式创新研究</w:t>
      </w:r>
    </w:p>
    <w:p w14:paraId="045E6A5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32.重庆市职业学校社会服务能力评价和提升路径研究</w:t>
      </w:r>
    </w:p>
    <w:p w14:paraId="3521437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33.“十五五”期间重庆市高等院校设置区域布局与规模发展研究</w:t>
      </w:r>
    </w:p>
    <w:p w14:paraId="58264C9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34.重庆高校大学生高质量充分就业政策体系构建与优化研究</w:t>
      </w:r>
    </w:p>
    <w:p w14:paraId="50549884">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35.重庆农村留守儿童心理健康问题的早期识别与干预研究</w:t>
      </w:r>
    </w:p>
    <w:p w14:paraId="586BD61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36.重庆儿童挑食行为的认知机制研究</w:t>
      </w:r>
    </w:p>
    <w:p w14:paraId="3C0238C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37.健全重庆市青少年心理疏导机制改革探索研究</w:t>
      </w:r>
    </w:p>
    <w:p w14:paraId="3C48279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38.社会阶层成长型心智对重庆大学生学业的影响研究</w:t>
      </w:r>
    </w:p>
    <w:p w14:paraId="35510C78">
      <w:pPr>
        <w:spacing w:line="600" w:lineRule="exact"/>
        <w:ind w:left="502" w:hanging="502" w:hangingChars="157"/>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39.基于心理学视角的重庆脑机接口神经调控研究</w:t>
      </w:r>
    </w:p>
    <w:p w14:paraId="1718915A">
      <w:pPr>
        <w:widowControl w:val="0"/>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sectPr>
          <w:pgSz w:w="11906" w:h="16838"/>
          <w:pgMar w:top="1985" w:right="1446" w:bottom="1644" w:left="1446" w:header="851" w:footer="992" w:gutter="0"/>
          <w:cols w:space="425" w:num="1"/>
          <w:docGrid w:type="lines" w:linePitch="312" w:charSpace="0"/>
        </w:sectPr>
      </w:pPr>
    </w:p>
    <w:p w14:paraId="248CDB86">
      <w:pPr>
        <w:keepNext/>
        <w:keepLines/>
        <w:spacing w:line="600" w:lineRule="exact"/>
        <w:ind w:firstLine="0" w:firstLineChars="0"/>
        <w:jc w:val="center"/>
        <w:outlineLvl w:val="0"/>
        <w:rPr>
          <w:rFonts w:ascii="方正黑体_GBK" w:hAnsi="黑体" w:eastAsia="方正黑体_GBK" w:cs="宋体"/>
          <w:bCs/>
          <w:color w:val="000000" w:themeColor="text1"/>
          <w:kern w:val="0"/>
          <w:sz w:val="32"/>
          <w:szCs w:val="32"/>
          <w14:textFill>
            <w14:solidFill>
              <w14:schemeClr w14:val="tx1"/>
            </w14:solidFill>
          </w14:textFill>
        </w:rPr>
      </w:pPr>
      <w:r>
        <w:rPr>
          <w:rFonts w:hint="eastAsia" w:ascii="方正黑体_GBK" w:hAnsi="黑体" w:eastAsia="方正黑体_GBK" w:cs="宋体"/>
          <w:bCs/>
          <w:color w:val="000000" w:themeColor="text1"/>
          <w:kern w:val="0"/>
          <w:sz w:val="32"/>
          <w:szCs w:val="32"/>
          <w14:textFill>
            <w14:solidFill>
              <w14:schemeClr w14:val="tx1"/>
            </w14:solidFill>
          </w14:textFill>
        </w:rPr>
        <w:t>体育学</w:t>
      </w:r>
    </w:p>
    <w:p w14:paraId="4ACE758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*1.中国体育学自主知识体系多重建构研究</w:t>
      </w:r>
    </w:p>
    <w:p w14:paraId="6D7E96D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*2.学校体育促进铸牢中华民族共同体意识研究</w:t>
      </w:r>
    </w:p>
    <w:p w14:paraId="2C6D0900">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*3.中国特色体育国际传播研究</w:t>
      </w:r>
    </w:p>
    <w:p w14:paraId="6DFF11A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*4.体育产业高质量发展水平测度与优化路径研究</w:t>
      </w:r>
    </w:p>
    <w:p w14:paraId="6D550689">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*5.数实融合推进我国体育用品制造产业高质量发展研究</w:t>
      </w:r>
    </w:p>
    <w:p w14:paraId="71E8B21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*6.数据要素赋能体育产业高质量发展研究</w:t>
      </w:r>
    </w:p>
    <w:p w14:paraId="070469E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*7.特色竞技体育科学训练体系构建研究</w:t>
      </w:r>
    </w:p>
    <w:p w14:paraId="4F60A002">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*8.重庆全民健身公共服务体系构建研究</w:t>
      </w:r>
    </w:p>
    <w:p w14:paraId="48E750AE">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9.成渝地区双城经济圈体育产业协同发展研究</w:t>
      </w:r>
    </w:p>
    <w:p w14:paraId="6D0F08E3">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10.重庆残疾人公共体育服务数字化转型研究</w:t>
      </w:r>
    </w:p>
    <w:p w14:paraId="74D4D8F5">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11.重庆大型体育赛事绿色转型机制构建研究</w:t>
      </w:r>
    </w:p>
    <w:p w14:paraId="24942FC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12.重庆县域全民健身公共服务体系的推进机制及路径研究</w:t>
      </w:r>
      <w:bookmarkStart w:id="9" w:name="_GoBack"/>
      <w:bookmarkEnd w:id="9"/>
    </w:p>
    <w:p w14:paraId="63FAD4F7">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13.数智赋能重庆大型体育赛事研究</w:t>
      </w:r>
    </w:p>
    <w:p w14:paraId="28C8ED7C">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14.重庆老年人运动作息行为优化研究</w:t>
      </w:r>
    </w:p>
    <w:p w14:paraId="3F4B7B26">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15.重庆青少年手机成瘾的运动干预模式研究</w:t>
      </w:r>
    </w:p>
    <w:p w14:paraId="4DC0371F">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16.重庆体育旅游产业数字化转型研究</w:t>
      </w:r>
    </w:p>
    <w:p w14:paraId="620F83B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17.重庆高水平运动员系统化体能测试方案研究</w:t>
      </w:r>
    </w:p>
    <w:p w14:paraId="083BF891">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18.重庆体育非物质文化遗产的地方记忆与社会整合研究</w:t>
      </w:r>
    </w:p>
    <w:p w14:paraId="7FBB8F4A">
      <w:pPr>
        <w:spacing w:line="60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19.重庆数字体育赛事发展的风险治理研究</w:t>
      </w:r>
    </w:p>
    <w:p w14:paraId="58F1D0F5">
      <w:pPr>
        <w:spacing w:line="600" w:lineRule="exact"/>
        <w:ind w:firstLine="0" w:firstLineChars="0"/>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20.重庆全民健身与竞技体育协调发展机制研究</w:t>
      </w:r>
    </w:p>
    <w:p w14:paraId="59750810">
      <w:pPr>
        <w:spacing w:line="560" w:lineRule="exact"/>
        <w:ind w:left="502" w:hanging="502" w:hangingChars="157"/>
        <w:rPr>
          <w:rFonts w:ascii="Times New Roman" w:hAnsi="Times New Roman" w:eastAsia="方正仿宋_GBK" w:cs="Times New Roman"/>
          <w:bCs/>
          <w:color w:val="000000" w:themeColor="text1"/>
          <w:kern w:val="0"/>
          <w:sz w:val="32"/>
          <w:szCs w:val="32"/>
          <w14:textFill>
            <w14:solidFill>
              <w14:schemeClr w14:val="tx1"/>
            </w14:solidFill>
          </w14:textFill>
        </w:rPr>
      </w:pP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FC389">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197026">
                          <w:pPr>
                            <w:pStyle w:val="3"/>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1197026">
                    <w:pPr>
                      <w:pStyle w:val="3"/>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9A0C6">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F984C">
    <w:pPr>
      <w:pStyle w:val="3"/>
      <w:framePr w:wrap="around" w:vAnchor="text" w:hAnchor="margin" w:xAlign="center" w:y="1"/>
      <w:ind w:firstLine="360"/>
      <w:rPr>
        <w:rStyle w:val="8"/>
      </w:rPr>
    </w:pPr>
    <w:r>
      <w:fldChar w:fldCharType="begin"/>
    </w:r>
    <w:r>
      <w:rPr>
        <w:rStyle w:val="8"/>
      </w:rPr>
      <w:instrText xml:space="preserve">PAGE  </w:instrText>
    </w:r>
    <w:r>
      <w:fldChar w:fldCharType="separate"/>
    </w:r>
    <w:r>
      <w:rPr>
        <w:rStyle w:val="8"/>
      </w:rPr>
      <w:t xml:space="preserve"> </w:t>
    </w:r>
    <w:r>
      <w:fldChar w:fldCharType="end"/>
    </w:r>
  </w:p>
  <w:p w14:paraId="4CB289C1">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DA419">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F4D1B">
    <w:pPr>
      <w:pStyle w:val="3"/>
      <w:ind w:firstLine="0" w:firstLineChars="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6695F">
                          <w:pPr>
                            <w:pStyle w:val="3"/>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F56695F">
                    <w:pPr>
                      <w:pStyle w:val="3"/>
                      <w:ind w:firstLine="36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CBF50">
    <w:pPr>
      <w:pStyle w:val="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B52B8">
    <w:pPr>
      <w:pStyle w:val="3"/>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F3E35">
    <w:pPr>
      <w:pStyle w:val="3"/>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5E85D">
    <w:pPr>
      <w:pStyle w:val="3"/>
      <w:ind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A34E8C">
                          <w:pPr>
                            <w:pStyle w:val="3"/>
                            <w:ind w:firstLine="480"/>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PAGE  \* MERGEFORMAT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z w:val="24"/>
                              <w:szCs w:val="24"/>
                            </w:rPr>
                            <w:t>20</w:t>
                          </w:r>
                          <w:r>
                            <w:rPr>
                              <w:rFonts w:hint="eastAsia" w:ascii="方正仿宋_GBK" w:hAnsi="方正仿宋_GBK" w:eastAsia="方正仿宋_GBK" w:cs="方正仿宋_GBK"/>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AA34E8C">
                    <w:pPr>
                      <w:pStyle w:val="3"/>
                      <w:ind w:firstLine="480"/>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PAGE  \* MERGEFORMAT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z w:val="24"/>
                        <w:szCs w:val="24"/>
                      </w:rPr>
                      <w:t>20</w:t>
                    </w:r>
                    <w:r>
                      <w:rPr>
                        <w:rFonts w:hint="eastAsia" w:ascii="方正仿宋_GBK" w:hAnsi="方正仿宋_GBK" w:eastAsia="方正仿宋_GBK" w:cs="方正仿宋_GBK"/>
                        <w:sz w:val="24"/>
                        <w:szCs w:val="24"/>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A1C2D">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D7AEE">
    <w:pPr>
      <w:ind w:firstLine="0" w:firstLineChars="0"/>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547A8">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E40E4">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B73A8">
    <w:pPr>
      <w:pStyle w:val="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FDBBA">
    <w:pPr>
      <w:ind w:firstLine="4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F1488">
    <w:pPr>
      <w:pStyle w:val="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63C1A">
    <w:pPr>
      <w:pStyle w:val="4"/>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BFE85">
    <w:pPr>
      <w:ind w:firstLine="42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95CA2">
    <w:pPr>
      <w:ind w:firstLine="42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A56BC">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DE5"/>
    <w:rsid w:val="00003043"/>
    <w:rsid w:val="000161CB"/>
    <w:rsid w:val="00017C59"/>
    <w:rsid w:val="00023E91"/>
    <w:rsid w:val="00025865"/>
    <w:rsid w:val="0004377E"/>
    <w:rsid w:val="00050434"/>
    <w:rsid w:val="0005088C"/>
    <w:rsid w:val="000577CC"/>
    <w:rsid w:val="000601BF"/>
    <w:rsid w:val="00060801"/>
    <w:rsid w:val="0006195E"/>
    <w:rsid w:val="000709F6"/>
    <w:rsid w:val="00072BDC"/>
    <w:rsid w:val="00074E83"/>
    <w:rsid w:val="00085CEE"/>
    <w:rsid w:val="000A4D51"/>
    <w:rsid w:val="000A7E69"/>
    <w:rsid w:val="000B1345"/>
    <w:rsid w:val="000C4C31"/>
    <w:rsid w:val="000C5720"/>
    <w:rsid w:val="000C5F06"/>
    <w:rsid w:val="000E5649"/>
    <w:rsid w:val="00101198"/>
    <w:rsid w:val="00102911"/>
    <w:rsid w:val="00106E84"/>
    <w:rsid w:val="00107E10"/>
    <w:rsid w:val="0011084C"/>
    <w:rsid w:val="00110D98"/>
    <w:rsid w:val="00116223"/>
    <w:rsid w:val="0012128A"/>
    <w:rsid w:val="00122841"/>
    <w:rsid w:val="0012304C"/>
    <w:rsid w:val="001244E0"/>
    <w:rsid w:val="0013113D"/>
    <w:rsid w:val="001402A1"/>
    <w:rsid w:val="00146A7A"/>
    <w:rsid w:val="00146FD4"/>
    <w:rsid w:val="00154DC7"/>
    <w:rsid w:val="00176C2E"/>
    <w:rsid w:val="00190F48"/>
    <w:rsid w:val="001A7726"/>
    <w:rsid w:val="001B0E10"/>
    <w:rsid w:val="001B2D58"/>
    <w:rsid w:val="001B425D"/>
    <w:rsid w:val="001C2867"/>
    <w:rsid w:val="001D51E9"/>
    <w:rsid w:val="001E18CD"/>
    <w:rsid w:val="001E2FE0"/>
    <w:rsid w:val="001F23A0"/>
    <w:rsid w:val="00201F55"/>
    <w:rsid w:val="00212E5A"/>
    <w:rsid w:val="00222D23"/>
    <w:rsid w:val="00231011"/>
    <w:rsid w:val="00244BE4"/>
    <w:rsid w:val="0026141B"/>
    <w:rsid w:val="00261B9A"/>
    <w:rsid w:val="002647C5"/>
    <w:rsid w:val="00267379"/>
    <w:rsid w:val="00282A1F"/>
    <w:rsid w:val="0029016E"/>
    <w:rsid w:val="002978AA"/>
    <w:rsid w:val="002A1BE1"/>
    <w:rsid w:val="002A4E3F"/>
    <w:rsid w:val="002D5688"/>
    <w:rsid w:val="002D5D9F"/>
    <w:rsid w:val="00302636"/>
    <w:rsid w:val="00312657"/>
    <w:rsid w:val="00323A73"/>
    <w:rsid w:val="00331886"/>
    <w:rsid w:val="00336DF3"/>
    <w:rsid w:val="0034534D"/>
    <w:rsid w:val="00354F13"/>
    <w:rsid w:val="00380CB5"/>
    <w:rsid w:val="003A2D5C"/>
    <w:rsid w:val="003B0327"/>
    <w:rsid w:val="003B0C15"/>
    <w:rsid w:val="003B46D0"/>
    <w:rsid w:val="003B5DCB"/>
    <w:rsid w:val="003C3A33"/>
    <w:rsid w:val="003C5006"/>
    <w:rsid w:val="003E4DDE"/>
    <w:rsid w:val="00401DE5"/>
    <w:rsid w:val="00421DEC"/>
    <w:rsid w:val="00422847"/>
    <w:rsid w:val="004358F0"/>
    <w:rsid w:val="00441DD6"/>
    <w:rsid w:val="00460863"/>
    <w:rsid w:val="00467D9D"/>
    <w:rsid w:val="00474427"/>
    <w:rsid w:val="00474644"/>
    <w:rsid w:val="00474979"/>
    <w:rsid w:val="004761E1"/>
    <w:rsid w:val="00477F9A"/>
    <w:rsid w:val="00481D6F"/>
    <w:rsid w:val="00484350"/>
    <w:rsid w:val="0048445E"/>
    <w:rsid w:val="00493E34"/>
    <w:rsid w:val="004A59CE"/>
    <w:rsid w:val="004B115D"/>
    <w:rsid w:val="004B1639"/>
    <w:rsid w:val="004B34CF"/>
    <w:rsid w:val="004B3D23"/>
    <w:rsid w:val="004C4DC7"/>
    <w:rsid w:val="004D5A54"/>
    <w:rsid w:val="004F1DA7"/>
    <w:rsid w:val="004F2025"/>
    <w:rsid w:val="004F658B"/>
    <w:rsid w:val="00504F8A"/>
    <w:rsid w:val="00522477"/>
    <w:rsid w:val="00531670"/>
    <w:rsid w:val="0054062C"/>
    <w:rsid w:val="005450D1"/>
    <w:rsid w:val="00545743"/>
    <w:rsid w:val="00547ADE"/>
    <w:rsid w:val="00562D5B"/>
    <w:rsid w:val="005842E1"/>
    <w:rsid w:val="0058612C"/>
    <w:rsid w:val="00594936"/>
    <w:rsid w:val="00596EC6"/>
    <w:rsid w:val="005A26EF"/>
    <w:rsid w:val="005A291E"/>
    <w:rsid w:val="005A773F"/>
    <w:rsid w:val="005B5A66"/>
    <w:rsid w:val="005B6444"/>
    <w:rsid w:val="005C1F55"/>
    <w:rsid w:val="005D093A"/>
    <w:rsid w:val="005D2BDC"/>
    <w:rsid w:val="005E3EF4"/>
    <w:rsid w:val="00603392"/>
    <w:rsid w:val="00603EDA"/>
    <w:rsid w:val="00611759"/>
    <w:rsid w:val="00622CD1"/>
    <w:rsid w:val="00633033"/>
    <w:rsid w:val="0064061E"/>
    <w:rsid w:val="00640C45"/>
    <w:rsid w:val="00645AE5"/>
    <w:rsid w:val="00646DBE"/>
    <w:rsid w:val="006477F9"/>
    <w:rsid w:val="00654402"/>
    <w:rsid w:val="0067606B"/>
    <w:rsid w:val="00697AC6"/>
    <w:rsid w:val="006A11B6"/>
    <w:rsid w:val="006A51F5"/>
    <w:rsid w:val="006B19F3"/>
    <w:rsid w:val="006B2B55"/>
    <w:rsid w:val="006C514A"/>
    <w:rsid w:val="006C5727"/>
    <w:rsid w:val="006D2BE1"/>
    <w:rsid w:val="006E5974"/>
    <w:rsid w:val="006E60E4"/>
    <w:rsid w:val="00711A6F"/>
    <w:rsid w:val="0071397F"/>
    <w:rsid w:val="00724ED7"/>
    <w:rsid w:val="0072737E"/>
    <w:rsid w:val="00731081"/>
    <w:rsid w:val="00733E6F"/>
    <w:rsid w:val="00740225"/>
    <w:rsid w:val="007555FB"/>
    <w:rsid w:val="00760268"/>
    <w:rsid w:val="007746C7"/>
    <w:rsid w:val="00792064"/>
    <w:rsid w:val="00793954"/>
    <w:rsid w:val="0079606F"/>
    <w:rsid w:val="007A253F"/>
    <w:rsid w:val="007A3336"/>
    <w:rsid w:val="007B48BE"/>
    <w:rsid w:val="007C286B"/>
    <w:rsid w:val="007C4150"/>
    <w:rsid w:val="007E14F0"/>
    <w:rsid w:val="007E5DA8"/>
    <w:rsid w:val="007E7411"/>
    <w:rsid w:val="007F0275"/>
    <w:rsid w:val="007F5D00"/>
    <w:rsid w:val="00801B61"/>
    <w:rsid w:val="00804310"/>
    <w:rsid w:val="00806E98"/>
    <w:rsid w:val="008165DF"/>
    <w:rsid w:val="00830028"/>
    <w:rsid w:val="008341DE"/>
    <w:rsid w:val="00841B82"/>
    <w:rsid w:val="00846962"/>
    <w:rsid w:val="00851452"/>
    <w:rsid w:val="00853A70"/>
    <w:rsid w:val="0086508F"/>
    <w:rsid w:val="0086671A"/>
    <w:rsid w:val="008805C9"/>
    <w:rsid w:val="00894FF0"/>
    <w:rsid w:val="00895690"/>
    <w:rsid w:val="008A04D4"/>
    <w:rsid w:val="008A2A3A"/>
    <w:rsid w:val="008C3F0C"/>
    <w:rsid w:val="008D5B09"/>
    <w:rsid w:val="008E1F6F"/>
    <w:rsid w:val="008E38E3"/>
    <w:rsid w:val="008F718B"/>
    <w:rsid w:val="00902865"/>
    <w:rsid w:val="009149C0"/>
    <w:rsid w:val="0092099E"/>
    <w:rsid w:val="00922BD1"/>
    <w:rsid w:val="009304EA"/>
    <w:rsid w:val="0093282C"/>
    <w:rsid w:val="009405E8"/>
    <w:rsid w:val="0097062F"/>
    <w:rsid w:val="009B2A29"/>
    <w:rsid w:val="009C1B8C"/>
    <w:rsid w:val="009C3FD8"/>
    <w:rsid w:val="009D7510"/>
    <w:rsid w:val="009E2D45"/>
    <w:rsid w:val="009E4513"/>
    <w:rsid w:val="00A105A7"/>
    <w:rsid w:val="00A200AB"/>
    <w:rsid w:val="00A2377E"/>
    <w:rsid w:val="00A33B59"/>
    <w:rsid w:val="00A3601C"/>
    <w:rsid w:val="00A3659B"/>
    <w:rsid w:val="00A377EF"/>
    <w:rsid w:val="00A37E78"/>
    <w:rsid w:val="00A46F80"/>
    <w:rsid w:val="00A61520"/>
    <w:rsid w:val="00A72980"/>
    <w:rsid w:val="00A76C0E"/>
    <w:rsid w:val="00A86CA5"/>
    <w:rsid w:val="00A91914"/>
    <w:rsid w:val="00A940DC"/>
    <w:rsid w:val="00A94D7E"/>
    <w:rsid w:val="00AA2E3E"/>
    <w:rsid w:val="00AA7A49"/>
    <w:rsid w:val="00AB25CF"/>
    <w:rsid w:val="00AB5A72"/>
    <w:rsid w:val="00AC7397"/>
    <w:rsid w:val="00AD44BB"/>
    <w:rsid w:val="00AD627D"/>
    <w:rsid w:val="00AE7364"/>
    <w:rsid w:val="00AF35D6"/>
    <w:rsid w:val="00AF7704"/>
    <w:rsid w:val="00B0439E"/>
    <w:rsid w:val="00B12164"/>
    <w:rsid w:val="00B16B4C"/>
    <w:rsid w:val="00B2386F"/>
    <w:rsid w:val="00B27A25"/>
    <w:rsid w:val="00B31673"/>
    <w:rsid w:val="00B320B2"/>
    <w:rsid w:val="00B3771F"/>
    <w:rsid w:val="00B44B11"/>
    <w:rsid w:val="00B5304A"/>
    <w:rsid w:val="00B81CDA"/>
    <w:rsid w:val="00B82664"/>
    <w:rsid w:val="00B87669"/>
    <w:rsid w:val="00BA4195"/>
    <w:rsid w:val="00BA4F1B"/>
    <w:rsid w:val="00BA60F2"/>
    <w:rsid w:val="00BA7843"/>
    <w:rsid w:val="00BB3D1A"/>
    <w:rsid w:val="00BB4717"/>
    <w:rsid w:val="00BD118C"/>
    <w:rsid w:val="00BD5556"/>
    <w:rsid w:val="00BE4BDF"/>
    <w:rsid w:val="00BE6460"/>
    <w:rsid w:val="00BF213A"/>
    <w:rsid w:val="00C07CF3"/>
    <w:rsid w:val="00C11547"/>
    <w:rsid w:val="00C267BE"/>
    <w:rsid w:val="00C30B66"/>
    <w:rsid w:val="00C325C8"/>
    <w:rsid w:val="00C37CAC"/>
    <w:rsid w:val="00C437AD"/>
    <w:rsid w:val="00C51EF7"/>
    <w:rsid w:val="00C651D0"/>
    <w:rsid w:val="00C72F03"/>
    <w:rsid w:val="00C763A0"/>
    <w:rsid w:val="00C94B6A"/>
    <w:rsid w:val="00C97D2F"/>
    <w:rsid w:val="00CA459C"/>
    <w:rsid w:val="00CB11E7"/>
    <w:rsid w:val="00CB29E7"/>
    <w:rsid w:val="00CD13ED"/>
    <w:rsid w:val="00CD433B"/>
    <w:rsid w:val="00CD71A6"/>
    <w:rsid w:val="00D02A34"/>
    <w:rsid w:val="00D04060"/>
    <w:rsid w:val="00D10BC5"/>
    <w:rsid w:val="00D328AE"/>
    <w:rsid w:val="00D45616"/>
    <w:rsid w:val="00D519CB"/>
    <w:rsid w:val="00D54E42"/>
    <w:rsid w:val="00D61ECC"/>
    <w:rsid w:val="00D73097"/>
    <w:rsid w:val="00D757B0"/>
    <w:rsid w:val="00DB6163"/>
    <w:rsid w:val="00DC2CA2"/>
    <w:rsid w:val="00DC4B41"/>
    <w:rsid w:val="00DC7668"/>
    <w:rsid w:val="00DD3D60"/>
    <w:rsid w:val="00DF793E"/>
    <w:rsid w:val="00E01171"/>
    <w:rsid w:val="00E06635"/>
    <w:rsid w:val="00E12BFC"/>
    <w:rsid w:val="00E1419B"/>
    <w:rsid w:val="00E35387"/>
    <w:rsid w:val="00E55D34"/>
    <w:rsid w:val="00E64429"/>
    <w:rsid w:val="00E701E4"/>
    <w:rsid w:val="00E912E5"/>
    <w:rsid w:val="00E94140"/>
    <w:rsid w:val="00EC01A5"/>
    <w:rsid w:val="00EC06F1"/>
    <w:rsid w:val="00EE0BC2"/>
    <w:rsid w:val="00EF5068"/>
    <w:rsid w:val="00F1050B"/>
    <w:rsid w:val="00F10A6D"/>
    <w:rsid w:val="00F16126"/>
    <w:rsid w:val="00F20DFF"/>
    <w:rsid w:val="00F27AD6"/>
    <w:rsid w:val="00F36142"/>
    <w:rsid w:val="00F3650A"/>
    <w:rsid w:val="00F6162D"/>
    <w:rsid w:val="00F64A98"/>
    <w:rsid w:val="00F73C3D"/>
    <w:rsid w:val="00F74939"/>
    <w:rsid w:val="00F75F6D"/>
    <w:rsid w:val="00F8597C"/>
    <w:rsid w:val="00F872D3"/>
    <w:rsid w:val="00F8759E"/>
    <w:rsid w:val="00FA2371"/>
    <w:rsid w:val="00FB4B0C"/>
    <w:rsid w:val="00FD1033"/>
    <w:rsid w:val="00FE3E38"/>
    <w:rsid w:val="00FE5CF9"/>
    <w:rsid w:val="00FF6569"/>
    <w:rsid w:val="016D5D29"/>
    <w:rsid w:val="024E31BD"/>
    <w:rsid w:val="025C1B4A"/>
    <w:rsid w:val="04127E28"/>
    <w:rsid w:val="04580A1A"/>
    <w:rsid w:val="045D34D3"/>
    <w:rsid w:val="0461592E"/>
    <w:rsid w:val="051214B4"/>
    <w:rsid w:val="06AB20CE"/>
    <w:rsid w:val="070D3849"/>
    <w:rsid w:val="07C90B71"/>
    <w:rsid w:val="08BD61C8"/>
    <w:rsid w:val="08FE5039"/>
    <w:rsid w:val="0A5058B9"/>
    <w:rsid w:val="0A936C5D"/>
    <w:rsid w:val="0B375294"/>
    <w:rsid w:val="0B602217"/>
    <w:rsid w:val="0B71230C"/>
    <w:rsid w:val="0B715836"/>
    <w:rsid w:val="0B727457"/>
    <w:rsid w:val="0CA06E61"/>
    <w:rsid w:val="0D607BF6"/>
    <w:rsid w:val="0D7F7F7A"/>
    <w:rsid w:val="0EC3267E"/>
    <w:rsid w:val="0EF625AC"/>
    <w:rsid w:val="0F8E1EB6"/>
    <w:rsid w:val="104977A5"/>
    <w:rsid w:val="10A90F6E"/>
    <w:rsid w:val="10C929EA"/>
    <w:rsid w:val="110E5584"/>
    <w:rsid w:val="11175BEC"/>
    <w:rsid w:val="11567FC8"/>
    <w:rsid w:val="1203745D"/>
    <w:rsid w:val="121D5CB7"/>
    <w:rsid w:val="124771F7"/>
    <w:rsid w:val="12C23A8A"/>
    <w:rsid w:val="131D0882"/>
    <w:rsid w:val="135E4E2D"/>
    <w:rsid w:val="13812B6E"/>
    <w:rsid w:val="13ED3D8E"/>
    <w:rsid w:val="14626D50"/>
    <w:rsid w:val="14D71F79"/>
    <w:rsid w:val="15A51221"/>
    <w:rsid w:val="165D5A37"/>
    <w:rsid w:val="16AA5DAB"/>
    <w:rsid w:val="1729160C"/>
    <w:rsid w:val="1764269C"/>
    <w:rsid w:val="17EF2E07"/>
    <w:rsid w:val="17F751D0"/>
    <w:rsid w:val="197E6B2C"/>
    <w:rsid w:val="199913CD"/>
    <w:rsid w:val="1A0206F7"/>
    <w:rsid w:val="1A17656F"/>
    <w:rsid w:val="1A3F047F"/>
    <w:rsid w:val="1B265DE9"/>
    <w:rsid w:val="1BEE4DF7"/>
    <w:rsid w:val="1CF203D7"/>
    <w:rsid w:val="1EA74833"/>
    <w:rsid w:val="1EAB00AD"/>
    <w:rsid w:val="1FC34F60"/>
    <w:rsid w:val="203051E2"/>
    <w:rsid w:val="209F6F92"/>
    <w:rsid w:val="20DE4AD6"/>
    <w:rsid w:val="234E1B01"/>
    <w:rsid w:val="2355603E"/>
    <w:rsid w:val="23FB4E4C"/>
    <w:rsid w:val="24B90E75"/>
    <w:rsid w:val="255E20E6"/>
    <w:rsid w:val="266B0E73"/>
    <w:rsid w:val="271C53E5"/>
    <w:rsid w:val="277C51EB"/>
    <w:rsid w:val="282C43EC"/>
    <w:rsid w:val="295A3BC5"/>
    <w:rsid w:val="2988420A"/>
    <w:rsid w:val="2A906944"/>
    <w:rsid w:val="2B767387"/>
    <w:rsid w:val="2B8901EE"/>
    <w:rsid w:val="2BA20629"/>
    <w:rsid w:val="2BDF5376"/>
    <w:rsid w:val="2BE65013"/>
    <w:rsid w:val="2C524771"/>
    <w:rsid w:val="2C76725C"/>
    <w:rsid w:val="2C8A5E20"/>
    <w:rsid w:val="2DBB3E55"/>
    <w:rsid w:val="2ECC0432"/>
    <w:rsid w:val="2F240E9E"/>
    <w:rsid w:val="2F942867"/>
    <w:rsid w:val="304B4109"/>
    <w:rsid w:val="30A1695B"/>
    <w:rsid w:val="313E4C16"/>
    <w:rsid w:val="321B1B17"/>
    <w:rsid w:val="32865C79"/>
    <w:rsid w:val="32D15935"/>
    <w:rsid w:val="33DA255D"/>
    <w:rsid w:val="350A0182"/>
    <w:rsid w:val="35BD46C2"/>
    <w:rsid w:val="375138AA"/>
    <w:rsid w:val="37664FCF"/>
    <w:rsid w:val="37781D9D"/>
    <w:rsid w:val="388E0068"/>
    <w:rsid w:val="39F808A3"/>
    <w:rsid w:val="3A6C4F0A"/>
    <w:rsid w:val="3A8514C4"/>
    <w:rsid w:val="3B7333A1"/>
    <w:rsid w:val="3BC10E30"/>
    <w:rsid w:val="3C293B1F"/>
    <w:rsid w:val="3C3D73B9"/>
    <w:rsid w:val="3E866B71"/>
    <w:rsid w:val="3EE96E87"/>
    <w:rsid w:val="3F30371B"/>
    <w:rsid w:val="40AF644D"/>
    <w:rsid w:val="42971F85"/>
    <w:rsid w:val="42E854F8"/>
    <w:rsid w:val="43EF5F40"/>
    <w:rsid w:val="44733FB6"/>
    <w:rsid w:val="44BB4440"/>
    <w:rsid w:val="44F366BA"/>
    <w:rsid w:val="44F52E34"/>
    <w:rsid w:val="456C7AE2"/>
    <w:rsid w:val="457708E0"/>
    <w:rsid w:val="45ED611E"/>
    <w:rsid w:val="4647240E"/>
    <w:rsid w:val="464C76CF"/>
    <w:rsid w:val="46AE72BC"/>
    <w:rsid w:val="46BD2650"/>
    <w:rsid w:val="47D755E4"/>
    <w:rsid w:val="47FC538D"/>
    <w:rsid w:val="486115DC"/>
    <w:rsid w:val="4886701B"/>
    <w:rsid w:val="48993612"/>
    <w:rsid w:val="48B86E14"/>
    <w:rsid w:val="49265DF6"/>
    <w:rsid w:val="49D025CA"/>
    <w:rsid w:val="4A04393F"/>
    <w:rsid w:val="4B470073"/>
    <w:rsid w:val="4B4C47AA"/>
    <w:rsid w:val="4BE95B17"/>
    <w:rsid w:val="4DE621FB"/>
    <w:rsid w:val="4DF16F1E"/>
    <w:rsid w:val="4E9F2A08"/>
    <w:rsid w:val="4E9F772E"/>
    <w:rsid w:val="4EB47E60"/>
    <w:rsid w:val="4ED332E9"/>
    <w:rsid w:val="4FA77313"/>
    <w:rsid w:val="5001384B"/>
    <w:rsid w:val="50086768"/>
    <w:rsid w:val="509938A8"/>
    <w:rsid w:val="50B055A1"/>
    <w:rsid w:val="510D1FCC"/>
    <w:rsid w:val="525A3635"/>
    <w:rsid w:val="52A51BA5"/>
    <w:rsid w:val="536F2255"/>
    <w:rsid w:val="539C2AB0"/>
    <w:rsid w:val="53D04C0D"/>
    <w:rsid w:val="53FD6011"/>
    <w:rsid w:val="54E43134"/>
    <w:rsid w:val="54F0136D"/>
    <w:rsid w:val="555E5F94"/>
    <w:rsid w:val="56553771"/>
    <w:rsid w:val="56D96EA8"/>
    <w:rsid w:val="573371E1"/>
    <w:rsid w:val="57AC218E"/>
    <w:rsid w:val="58453CFE"/>
    <w:rsid w:val="58E757B0"/>
    <w:rsid w:val="59173250"/>
    <w:rsid w:val="5A607655"/>
    <w:rsid w:val="5B2F62E3"/>
    <w:rsid w:val="5C5C7EB7"/>
    <w:rsid w:val="5C9F389C"/>
    <w:rsid w:val="5CA64CA6"/>
    <w:rsid w:val="5E4E342D"/>
    <w:rsid w:val="5F0A61D2"/>
    <w:rsid w:val="5F81511B"/>
    <w:rsid w:val="5F831F7B"/>
    <w:rsid w:val="5F88496B"/>
    <w:rsid w:val="60C62535"/>
    <w:rsid w:val="61113C00"/>
    <w:rsid w:val="616D36A3"/>
    <w:rsid w:val="624E6F8F"/>
    <w:rsid w:val="625E62A9"/>
    <w:rsid w:val="628D1ACF"/>
    <w:rsid w:val="62981A01"/>
    <w:rsid w:val="630F5067"/>
    <w:rsid w:val="632958C1"/>
    <w:rsid w:val="63E366DC"/>
    <w:rsid w:val="644C5EDB"/>
    <w:rsid w:val="646C2D7C"/>
    <w:rsid w:val="650B3D26"/>
    <w:rsid w:val="65116386"/>
    <w:rsid w:val="65D42165"/>
    <w:rsid w:val="66642AA7"/>
    <w:rsid w:val="66FD6DE7"/>
    <w:rsid w:val="67D52A51"/>
    <w:rsid w:val="680944DF"/>
    <w:rsid w:val="6845513F"/>
    <w:rsid w:val="68483E44"/>
    <w:rsid w:val="68DB5336"/>
    <w:rsid w:val="6952022C"/>
    <w:rsid w:val="699E7D03"/>
    <w:rsid w:val="69CC7DEF"/>
    <w:rsid w:val="69E878A1"/>
    <w:rsid w:val="69F301ED"/>
    <w:rsid w:val="6AAE10E5"/>
    <w:rsid w:val="6B8C3DEB"/>
    <w:rsid w:val="6BBD684A"/>
    <w:rsid w:val="6BF43FE9"/>
    <w:rsid w:val="6C4C3EAD"/>
    <w:rsid w:val="6C4E728F"/>
    <w:rsid w:val="6CB3063E"/>
    <w:rsid w:val="6D042B84"/>
    <w:rsid w:val="6DB50CB8"/>
    <w:rsid w:val="6E023CD0"/>
    <w:rsid w:val="6E1E580E"/>
    <w:rsid w:val="6E663044"/>
    <w:rsid w:val="6F033D94"/>
    <w:rsid w:val="6F735359"/>
    <w:rsid w:val="70024036"/>
    <w:rsid w:val="70472F55"/>
    <w:rsid w:val="715D0027"/>
    <w:rsid w:val="719C02F0"/>
    <w:rsid w:val="722550A8"/>
    <w:rsid w:val="73B52AC6"/>
    <w:rsid w:val="73B92092"/>
    <w:rsid w:val="73BA5392"/>
    <w:rsid w:val="74904B1A"/>
    <w:rsid w:val="74DC4BB1"/>
    <w:rsid w:val="75237E26"/>
    <w:rsid w:val="754018BF"/>
    <w:rsid w:val="759722FF"/>
    <w:rsid w:val="75E14921"/>
    <w:rsid w:val="77A007AB"/>
    <w:rsid w:val="78284345"/>
    <w:rsid w:val="79222720"/>
    <w:rsid w:val="79D51B27"/>
    <w:rsid w:val="79F56707"/>
    <w:rsid w:val="7A64293C"/>
    <w:rsid w:val="7B0D396E"/>
    <w:rsid w:val="7B5F2E59"/>
    <w:rsid w:val="7B891A08"/>
    <w:rsid w:val="7D1E6A9F"/>
    <w:rsid w:val="7DC17407"/>
    <w:rsid w:val="7E9222F7"/>
    <w:rsid w:val="7EDD5A9A"/>
    <w:rsid w:val="7F765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ind w:firstLine="200" w:firstLineChars="20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tLeast"/>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semiHidden/>
    <w:unhideWhenUsed/>
    <w:qFormat/>
    <w:uiPriority w:val="99"/>
    <w:rPr>
      <w:sz w:val="24"/>
    </w:rPr>
  </w:style>
  <w:style w:type="character" w:styleId="8">
    <w:name w:val="page number"/>
    <w:basedOn w:val="7"/>
    <w:qFormat/>
    <w:uiPriority w:val="0"/>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标题 1 字符"/>
    <w:basedOn w:val="7"/>
    <w:link w:val="2"/>
    <w:qFormat/>
    <w:uiPriority w:val="9"/>
    <w:rPr>
      <w:b/>
      <w:bCs/>
      <w:kern w:val="44"/>
      <w:sz w:val="44"/>
      <w:szCs w:val="44"/>
    </w:rPr>
  </w:style>
  <w:style w:type="paragraph" w:styleId="12">
    <w:name w:val="List Paragraph"/>
    <w:basedOn w:val="1"/>
    <w:qFormat/>
    <w:uiPriority w:val="99"/>
    <w:pPr>
      <w:widowControl w:val="0"/>
      <w:spacing w:line="240" w:lineRule="auto"/>
      <w:ind w:firstLine="420"/>
    </w:pPr>
    <w:rPr>
      <w:rFonts w:ascii="等线" w:hAnsi="等线" w:eastAsia="等线"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footer" Target="footer8.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DE79EC-75E1-4D4B-B736-9E6434F3DA6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9061</Words>
  <Characters>9944</Characters>
  <Lines>74</Lines>
  <Paragraphs>20</Paragraphs>
  <TotalTime>139</TotalTime>
  <ScaleCrop>false</ScaleCrop>
  <LinksUpToDate>false</LinksUpToDate>
  <CharactersWithSpaces>9960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2025-12-12T10:11:00Z</dcterms:created>
  <dc:creator>Marbor</dc:creator>
  <cp:lastModifiedBy>唐子涵</cp:lastModifiedBy>
  <cp:lastPrinted>2025-12-10T07:46:00Z</cp:lastPrinted>
  <dcterms:modified xsi:type="dcterms:W3CDTF">2025-12-16T07:56:47Z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193DCBBB756C44B492074539CA0F47E6_13</vt:lpwstr>
  </property>
  <property fmtid="{D5CDD505-2E9C-101B-9397-08002B2CF9AE}" pid="4" name="KSOTemplateDocerSaveRecord">
    <vt:lpwstr>eyJoZGlkIjoiODcwYWU1MzE0YjgzMGQ0MmJmZTE0ZTVmNWE0NDBiZDQiLCJ1c2VySWQiOiIzMTQyMjQ3OTUifQ==</vt:lpwstr>
  </property>
</Properties>
</file>